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SB130078 vom 30. August 2013</w:t>
      </w:r>
    </w:p>
    <w:p>
      <w:r>
        <w:t>ZH Obergericht, 2013-08-30, DE</w:t>
      </w:r>
    </w:p>
    <w:p>
      <w:r>
        <w:rPr>
          <w:b/>
        </w:rPr>
        <w:t xml:space="preserve">Quelle: </w:t>
      </w:r>
      <w:r>
        <w:t>https://mcp.opencaselaw.ch/entscheid/zh_obergericht_SB130078</w:t>
      </w:r>
    </w:p>
    <w:p>
      <w:r>
        <w:t>FR: ZH_OBERGERICHT SB130078 du 30 août 2013</w:t>
      </w:r>
    </w:p>
    <w:p>
      <w:r>
        <w:t>IT: ZH_OBERGERICHT SB130078 del 30 agosto 2013</w:t>
      </w:r>
    </w:p>
    <w:p>
      <w:pPr>
        <w:pStyle w:val="Heading2"/>
      </w:pPr>
      <w:r>
        <w:t>Erwägungen</w:t>
      </w:r>
    </w:p>
    <w:p>
      <w:r>
        <w:rPr>
          <w:b/>
        </w:rPr>
        <w:t>E. 1</w:t>
      </w:r>
    </w:p>
    <w:p>
      <w:r>
        <w:t>Das vorliegende Verfahren geht auf einen Vorfall zurück, der sich in den frü- hen Morgenstunden des 4. Oktober 2009 in der Diskothek H._____ in I._____ er- eignete. Am 29. September 2010 bzw. am 22. Juli 2011 erhob die Staatsanwalt- schaft Limmattal / Albis Anklage gegen die Beschuldigten an das Einzelgericht in Strafsachen am Bezirksgericht Dietikon, das am 8. Februar 2012, am 21. Mai 2012 und am 4. Juni 2012 über diesen Fall verhandelte. Das Urteil wurde am 28. Juni 2012 mündlich eröffnet (Prot. I S. 84). Die begründete Ausfertigung wur- de den Beschuldigten am 5. Februar 2013 und der Staatsanwaltschaft am 7. Feb- ruar 2013 eröffnet (Urk. 156/1-6).</w:t>
      </w:r>
    </w:p>
    <w:p>
      <w:r>
        <w:rPr>
          <w:b/>
        </w:rPr>
        <w:t>E. 2</w:t>
      </w:r>
    </w:p>
    <w:p>
      <w:r>
        <w:t>Die Staatsanwaltschaft meldete am 4. Juli 2012 (Urk. 127) Berufung an und reichte am 8. Februar 2013 (Urk. 160) die Berufungserklärung ein. Sie verlangte für den Beschuldigten A._____, der von der Vorinstanz freigesprochen worden war, eine Verurteilung wegen Raufhandels, für den wegen Raufhandels und Fah- rens in fahrunfähigem Zustand aus anderen Gründen verurteilten Beschuldigten B._____ zusätzlich einen Schuldspruch wegen einfacher Körperverletzung sowie eine härtere Bestrafung der Beschuldigten B._____ und C._____. Mit Schreiben vom 27. August 2013 (Urk. 191/1-3) zog die Staatsanwaltschaft ihre Berufungen zurück. Davon ist Vormerk zu nehmen. Damit fällt auch die mit Eingabe vom 28. März 2013 (Urk. 176) erhobene Anschlussberufung des Beschuldigten A._____ dahin, mit welcher dieser Schadenersatz und Genugtuung für seine un- gerechtfertigte Inhaftierung im Strafverfahren beantragt hatte (Art. 401 Abs. 3 StPO). Der Beschuldigte B._____ meldete am 29. Juni 2012 (Urk. 122) Berufung an und reichte am 19. Februar 2013 (Urk. 161) die Berufungserklärung ein mit dem An- trag auf Freispruch vom Vorwurf des Raufhandels und entsprechende Regelung der Zivilfolgen.</w:t>
      </w:r>
    </w:p>
    <w:p>
      <w:r>
        <w:t>- 9 - Der Beschuldigte C._____ meldete am 9. Juli 2012 (Urk. 129) Berufung an. Er verzichtete jedoch auf die Einreichung einer Berufungserklärung (vgl. Urk. 175). Auf sein Rechtmittel ist demnach nicht einzutreten. Der Privatkläger E._____ meldete am 4. Juli 2012 (Urk. 128) Berufung gegen den Freispruch des Beschuldigten D._____ an und reichte am 25. Februar 2013 (Urk. 162) die Berufungserklärung ein. Am 20. März 2013 (Urk. 170) zog er seine Berufung wieder zurück. Bezüglich dieser beiden Beteiligten wurde das Beru- fungsverfahren mit Beschluss vom 3. Juni 2013 (Urk. 185) erledigt.</w:t>
      </w:r>
    </w:p>
    <w:p>
      <w:r>
        <w:rPr>
          <w:b/>
        </w:rPr>
        <w:t>E. 3</w:t>
      </w:r>
    </w:p>
    <w:p>
      <w:r>
        <w:t>Das vorinstanzliche Urteil ist demnach im Schuldpunkt in Bezug auf die Ver- urteilung des Beschuldigten B._____ wegen Fahrens in fahrunfähigem Zustand (Dispositiv-Ziffer 2.a zweiter Spiegelstrich) und seinen Freispruch vom Vorwurf der Körperverletzung (Dispositiv-Ziffer 2.b), die Verurteilung des Beschuldigten C._____ wegen Raufhandels (Dispositiv-Ziffer 3), die Freisprüche der Beschuldig- ten A._____ (Dispositiv-Ziffer 1), D._____ (Dispositiv-Ziffer 4) und E._____ (Dis- positiv-Ziffer 5), im Strafpunkt bezüglich den Beschuldigten C._____ (Dispositiv- Ziffer 7), in Bezug auf die Herausgabe von beschlagnahmten Beweismitteln (Dis- positiv-Ziffern 8-11), im Zivilpunkt bezüglich der Schadenersatzforderung des Pri- vatklägers F._____ im Verhältnis zum Beschuldigten C._____ (Dispositiv-Ziffer 12 teilweise, in Bezug auf die Abweisung des Genugtuungsbegehrens des Privatklä- gers F._____ (Dispositiv-Ziffer 13), die Schadenersatz- und Genugtuungsbegeh- ren der übrigen Privatkläger (Dispositiv-Ziffern 14-17), sowie in Bezug auf die Kosten- und Entschädigungsfolgen ausser bezüglich den Beschuldigten B._____ (Dispositiv-Ziffern 18 und 20-24 sowie 19 teilweise) rechtskräftig geworden. Dies ist vorab mit Beschluss festzustellen.</w:t>
      </w:r>
    </w:p>
    <w:p>
      <w:r>
        <w:rPr>
          <w:b/>
        </w:rPr>
        <w:t>E. 4</w:t>
      </w:r>
    </w:p>
    <w:p>
      <w:r>
        <w:t>Weil die Untersuchungen gegen die Beschuldigten separat geführt und die Verfahren erst im Verlauf des Gerichtsverfahrens miteinander vereinigt wurden (Urk. 74), ist ein Grossteil der Untersuchungsakten mehrfach vorhanden, wobei die Nummerierung nicht genau übereinstimmt, worauf der Verteidiger des Be- schuldigten B._____ in seinem Plädoyer aufmerksam machte (Urk. 193 S. 5 Ziff. 4.2). Nachfolgend wird jeweils aus den Untersuchungsakten des Beschuldig- ten A._____ zitiert, da die Vorinstanz jenes Verfahren als erstes eröffnet hatte und</w:t>
      </w:r>
    </w:p>
    <w:p>
      <w:r>
        <w:t>- 10 - die übrigen Verfahren später damit vereinigte. Die Untersuchungsakten der übri- gen Beschuldigten finden sich dort, wo sie nach der Vereinigung in die Akten in- tegriert wurden (d.h. die Akten i.S. B._____ unter Urk. 75/1 ff. und die Akten i.S. C._____ unter Urk. 76/1 ff.).</w:t>
      </w:r>
    </w:p>
    <w:p>
      <w:r>
        <w:rPr>
          <w:b/>
        </w:rPr>
        <w:t>E. 5</w:t>
      </w:r>
    </w:p>
    <w:p>
      <w:r>
        <w:t>Der Beschuldigte B._____ ist demnach zu einer Geldstrafe von 90 Tagess- ätzen zu verurteilen. Die Voraussetzungen für die Ausfällung einer Freiheitsstrafe (Art. 41 Abs. 1 StGB) sind offensichtlich nicht erfüllt. Die finanziellen Verhältnisse des Beschuldigten B._____ haben sich seit dem vor- instanzlichen Entscheid stark verbessert: damals war er arbeitslos, während er laut seinen Angaben in der persönlichen Befragung heute ein Nettoeinkommen</w:t>
      </w:r>
    </w:p>
    <w:p>
      <w:r>
        <w:t>- 18 - von rund Fr. 4'400.- erzielt (Prot. II S. 9). Wegen des prozessualen Verschlechte- rungsverbots ist der Tagessatz jedoch bei Fr. 20.– zu belassen. Der Beschuldigte B._____ ist demnach zu einer Geldstrafe von 90 Tagessätzen zu Fr. 20.– zu verurteilen. Daran ist die verbüsste Untersuchungshaft von 48 Ta- gen anzurechnen.</w:t>
      </w:r>
    </w:p>
    <w:p>
      <w:r>
        <w:rPr>
          <w:b/>
        </w:rPr>
        <w:t>E. 6</w:t>
      </w:r>
    </w:p>
    <w:p>
      <w:r>
        <w:t>Der Beschuldigte B._____ ist ferner schuldig des Raufhandels im Sinne von Art. 133 Abs. 1 StGB.</w:t>
      </w:r>
    </w:p>
    <w:p>
      <w:r>
        <w:rPr>
          <w:b/>
        </w:rPr>
        <w:t>E. 7</w:t>
      </w:r>
    </w:p>
    <w:p>
      <w:r>
        <w:t>a) Der Beschuldigte B._____ wird bestraft mit einer Geldstrafe von 90 Ta- gessätzen zu Fr. 20.–, wovon 48 Tagessätze als durch Untersuchungshaft geleistet gelten. b) Der Vollzug der Geldstrafe des Beschuldigten B._____ wird aufge- schoben und die Probezeit auf zwei Jahre festgesetzt.</w:t>
      </w:r>
    </w:p>
    <w:p>
      <w:r>
        <w:rPr>
          <w:b/>
        </w:rPr>
        <w:t>E. 8</w:t>
      </w:r>
    </w:p>
    <w:p>
      <w:r>
        <w:t>Die Schadenersatzforderung des Privatklägers F._____ gegen den Be- schuldigten B._____ wird auf den Zivilweg verwiesen.</w:t>
      </w:r>
    </w:p>
    <w:p>
      <w:r>
        <w:rPr>
          <w:b/>
        </w:rPr>
        <w:t>E. 9</w:t>
      </w:r>
    </w:p>
    <w:p>
      <w:r>
        <w:t>Die erstinstanzliche Kostenauflage bezüglich des Beschuldigten B._____ (Dispositiv-Ziffer 19) wird bestätigt.</w:t>
      </w:r>
    </w:p>
    <w:p>
      <w:r>
        <w:rPr>
          <w:b/>
        </w:rPr>
        <w:t>E. 10</w:t>
      </w:r>
    </w:p>
    <w:p>
      <w:r>
        <w:t>Die zweitinstanzliche Gerichtsgebühr wird festgesetzt auf:</w:t>
      </w:r>
    </w:p>
    <w:p>
      <w:r>
        <w:t>- 22 - Fr. 4'500.00 ; die weiteren Kosten betragen: Fr. 2'358.10 amtliche Verteidigung RA Dr. X1._____ (A._____) Fr. 5'000.00 amtliche Verteidigung RA X2._____ (B._____) Fr. 1'500.00 amtliche Verteidigung RA X3._____ (C._____) Fr. 1'205.30 amtliche Verteidigung RAin X4._____ (D._____)</w:t>
      </w:r>
    </w:p>
    <w:p>
      <w:r>
        <w:rPr>
          <w:b/>
        </w:rPr>
        <w:t>E. 11</w:t>
      </w:r>
    </w:p>
    <w:p>
      <w:r>
        <w:t>Die Kosten des Berufungsverfahrens, mit Ausnahme der Kosten der amtli- chen Verteidigung, werden zu einem Drittel dem Beschuldigten B._____ auferlegt und zu zwei Dritteln auf die Gerichtskasse genommen. Die Kosten der amtlichen Verteidigungen werden auf die Gerichtskasse ge- nommen. Die Rückzahlungspflicht im Umfang eines Drittels des Beschuldig- ten B._____ mit Bezug auf die Entschädigung seines Anwalts bleibt vorbehalten.</w:t>
      </w:r>
    </w:p>
    <w:p>
      <w:r>
        <w:rPr>
          <w:b/>
        </w:rPr>
        <w:t>E. 12</w:t>
      </w:r>
    </w:p>
    <w:p>
      <w:r>
        <w:t>Schriftliche Mitteilung im Dispositiv an − die amtliche Verteidigung des Beschuldigten B._____ im Doppel für sich und zuhanden des Angeklagten B._____ − die amtliche Verteidigung des Beschuldigten A._____ im Doppel für sich und zuhanden des Angeklagten A._____ − die amtliche Verteidigung des Beschuldigten C._____ im Doppel für sich und zuhanden des Angeklagten C._____ − die amtliche Verteidigung des Beschuldigten D._____ im Doppel für sich und zuhanden des Angeklagten D._____ − die Staatsanwaltschaft Limmattal/Albis − die Privatkläger F._____, M._____, G._____ und den Vertreter des Privatklägers E._____ im Doppel für sich und zuhanden des Privatklägers sowie in vollständiger Ausfertigung an − die amtliche Verteidigung des Beschuldigten B._____ im Doppel für sich und zuhanden des Angeklagten B._____ − die Staatsanwaltschaft Limmattal/Albis − den Privatkläger F._____ und nach unbenütztem Ablauf der Rechtsmittelfrist bzw. Erledigung allfälli- ger Rechtsmittel an</w:t>
      </w:r>
    </w:p>
    <w:p>
      <w:r>
        <w:t>- 23 - − die Vorinstanz − die Koordinationsstelle VOSTRA mit Formular A betreffend den Be- schuldigten B._____ − die KOST Zürich mit dem Formular "Löschung des DNA-Profils und Vernichtung des ED-Materials" zwecks Löschung des DNA-Profils be- treffend den Beschuldigten B._____.</w:t>
      </w:r>
    </w:p>
    <w:p>
      <w:r>
        <w:rPr>
          <w:b/>
        </w:rPr>
        <w:t>E. 13</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30. August 2013 Der Präsident: Die Gerichtsschreiberin: Oberrichter Dr. Bussmann lic. iur. Aardoom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