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SB120423 vom 2. April 2013</w:t>
      </w:r>
    </w:p>
    <w:p>
      <w:r>
        <w:t>ZH Obergericht, 2013-04-02, DE</w:t>
      </w:r>
    </w:p>
    <w:p>
      <w:r>
        <w:rPr>
          <w:b/>
        </w:rPr>
        <w:t xml:space="preserve">Quelle: </w:t>
      </w:r>
      <w:r>
        <w:t>https://mcp.opencaselaw.ch/entscheid/zh_obergericht_SB120423</w:t>
      </w:r>
    </w:p>
    <w:p>
      <w:r>
        <w:t>FR: ZH_OBERGERICHT SB120423 du 2 avril 2013</w:t>
      </w:r>
    </w:p>
    <w:p>
      <w:r>
        <w:t>IT: ZH_OBERGERICHT SB120423 del 2 aprile 2013</w:t>
      </w:r>
    </w:p>
    <w:p>
      <w:pPr>
        <w:pStyle w:val="Heading2"/>
      </w:pPr>
      <w:r>
        <w:t>Erwägungen</w:t>
      </w:r>
    </w:p>
    <w:p>
      <w:r>
        <w:rPr>
          <w:b/>
        </w:rPr>
        <w:t>E. 1</w:t>
      </w:r>
    </w:p>
    <w:p>
      <w:r>
        <w:t>Mit Urteil vom 21. Juni 2012 sprach das Bezirksgericht Winterthur den Beschuldigten schuldig der versuchten vorsätzlichen Tötung im Sinne von Art. 111 StGB in Verbindung mit Art. 22 Abs. 1 StGB; der bedingte Vollzug der mit Strafbefehl der Staatsanwaltschaft Winterthur/Unterland vom 2. Februar 2010 ausgefällten Geldstrafe von 60 Tagessätzen zu Fr. 50.– wurde widerrufen und der Beschuldigte mit einer Freiheitsstrafe von 4 ½ Jahren bestraft (wovon 390 Tage durch Untersuchungs- und Sicherheitshaft erstanden waren). Zudem wurde eine ambulante Massnahme im Sinne von Art. 63 StGB (Behandlung psychischer Stö- rungen) angeordnet; der Vollzug der Freiheitsstrafe wurde dazu nicht aufgescho- ben. Ausserdem wurde festgestellt, dass der Beschuldigte gegenüber der Privat- klägerin aus dem eingeklagten Schadensereignis dem Grundsatze nach schaden- ersatzpflichtig ist, und er wurde verpflichtet, der Privatklägerin Fr. 12'000.– zuzüg- lich 5 % Zins ab 26. April 2011 als Genugtuung zu bezahlen (Urk. 57 S. 25 ff.). Das vorinstanzliche Urteil wurde dem Beschuldigten, der Staatsanwaltschaft sowie der Vertreterin der Privatklägerin anlässlich der Hauptverhandlung vom</w:t>
      </w:r>
    </w:p>
    <w:p>
      <w:r>
        <w:t>- 5 - 21. Juni 2012 mündlich eröffnet und im Dispositiv übergeben (Prot. I S. 27; Urk. 46). Die Staatsanwaltschaft meldete mit Schreiben vom 28. Juni 2012 recht- zeitig Berufung an (Urk. 48). Das schriftlich begründete Urteil wurde dem Beschul- digten und der Privatklägerin am 18. September 2012 sowie der Staatsanwalt- schaft am 20. September 2012 zugestellt (Urk. 55). Mit Schreiben vom 9. Oktober 2012 reichte die Staatsanwaltschaft fristge- recht die Berufungserklärung ein, mit welcher sie die Berufung auf die Bemes- sung der Strafe beschränkte (Urk. 66). Der Beschuldigte liess mit Eingabe vom</w:t>
      </w:r>
    </w:p>
    <w:p>
      <w:r>
        <w:rPr>
          <w:b/>
        </w:rPr>
        <w:t>E. 5</w:t>
      </w:r>
    </w:p>
    <w:p>
      <w:r>
        <w:t>Unter Berücksichtigung sämtlicher Strafzumessungsgründe erscheint die von beiden Parteien beantragte Freiheitsstrafe von 5 Jahren und 4 Monaten als angemessene Sanktion. An diese Freiheitsstrafe sind bis und mit heute insge- samt 707 Tage Untersuchungs- (26. April 2011 bis 26. April 2012) und Sicher- heitshaft (26. April 2012 bis 21. Mai 2012) sowie vorzeitiger Strafvollzug (ab 21. Mai 2012) anzurechnen (Art. 51 StGB). Die Höhe der Freiheitsstrafe erlaubt weder den bedingten noch den teilbe- dingten Strafvollzug (Art. 42 f. StGB). Die Freiheitsstrafe ist daher zu vollziehen.</w:t>
      </w:r>
    </w:p>
    <w:p>
      <w:r>
        <w:t>- 13 - III. Kosten- und Entschädigungsfolgen Gemäss Art. 428 Abs. 1 StPO tragen die Parteien die Kosten des Rechtsmit- telverfahrens nach Massgabe ihres Obsiegens oder Unterliegens, wobei als un- terliegend auch die Partei gilt, die das Rechtsmittel zurückzieht. Der Beschuldigte liess seine Anschlussberufung zurückziehen; die Staats- anwaltschaft dringt mit ihrem ursprünglichen Antrag auf Ausfällung einer ver- gleichsweise erheblich höheren Freiheitsstrafe zumindest teilweise durch. Unter Berücksichtigung des Umstandes, dass beide Parteien schlussendlich einen übereinstimmenden Antrag betreffend die Strafhöhe gestellt haben, rechtfertigt es sich, dem Beschuldigten die Kosten des zweitinstanzlichen Verfahrens zur Hälfte aufzuerlegen und im Übrigen samt den Kosten seiner amtlichen Verteidigung auf die Gerichtskasse zu nehmen, wobei für Letzteres der Vorbehalt von Art. 135 Abs. 4 StPO gilt. Es wird beschlossen:</w:t>
      </w:r>
    </w:p>
    <w:p>
      <w:r>
        <w:rPr>
          <w:b/>
        </w:rPr>
        <w:t>E. 8</w:t>
      </w:r>
    </w:p>
    <w:p>
      <w:r>
        <w:t>Vom Rückzug der Anschlussberufung des Beschuldigten wird Vormerk ge- nommen.</w:t>
      </w:r>
    </w:p>
    <w:p>
      <w:r>
        <w:rPr>
          <w:b/>
        </w:rPr>
        <w:t>E. 9</w:t>
      </w:r>
    </w:p>
    <w:p>
      <w:r>
        <w:t>Es wird festgestellt, dass das Urteil des Bezirksgerichts Winterthur vom 21. Juni 2012 hinsichtlich der Dispositivziffern 1 (Schuldspruch), 2 (Wider- ruf), 4 (ambulante Massnahme), 5a und 5b (Zivilansprüche) sowie 6 und 7 (Kostendispositiv) in Rechtskraft erwachsen ist.</w:t>
      </w:r>
    </w:p>
    <w:p>
      <w:r>
        <w:rPr>
          <w:b/>
        </w:rPr>
        <w:t>E. 10</w:t>
      </w:r>
    </w:p>
    <w:p>
      <w:r>
        <w:t>Mündliche Eröffnung und schriftliche Mitteilung mit nachfolgendem Urteil.</w:t>
      </w:r>
    </w:p>
    <w:p>
      <w:r>
        <w:rPr>
          <w:b/>
        </w:rPr>
        <w:t>E. 11</w:t>
      </w:r>
    </w:p>
    <w:p>
      <w:r>
        <w:t>Rechtsmittel: Gegen Ziffer 1 dieses Entscheides kann bundesrechtliche Beschwerde in Strafsachen erhoben werden. Die Beschwerde ist innert 30 Tagen, vom Empfang der vollständigen, be- gründeten Ausfertigung an gerechnet, bei der Strafrechtlichen Abteilung des</w:t>
      </w:r>
    </w:p>
    <w:p>
      <w:r>
        <w:t>- 14 -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