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SB120327 vom 11. Juni 2013</w:t>
      </w:r>
    </w:p>
    <w:p>
      <w:r>
        <w:t>ZH Obergericht, 2013-06-11, DE</w:t>
      </w:r>
    </w:p>
    <w:p>
      <w:r>
        <w:rPr>
          <w:b/>
        </w:rPr>
        <w:t xml:space="preserve">Quelle: </w:t>
      </w:r>
      <w:r>
        <w:t>https://mcp.opencaselaw.ch/entscheid/zh_obergericht_SB120327</w:t>
      </w:r>
    </w:p>
    <w:p>
      <w:r>
        <w:t>FR: ZH_OBERGERICHT SB120327 du 11 juin 2013</w:t>
      </w:r>
    </w:p>
    <w:p>
      <w:r>
        <w:t>IT: ZH_OBERGERICHT SB120327 del 11 giugno 2013</w:t>
      </w:r>
    </w:p>
    <w:p>
      <w:pPr>
        <w:pStyle w:val="Heading2"/>
      </w:pPr>
      <w:r>
        <w:t>Erwägungen</w:t>
      </w:r>
    </w:p>
    <w:p>
      <w:r>
        <w:rPr>
          <w:b/>
        </w:rPr>
        <w:t>E. 1</w:t>
      </w:r>
    </w:p>
    <w:p>
      <w:r>
        <w:t>Der Beschuldigte wurde mit Urteil des Bezirksgerichts Andelfingen vom</w:t>
      </w:r>
    </w:p>
    <w:p>
      <w:r>
        <w:rPr>
          <w:b/>
        </w:rPr>
        <w:t>E. 3</w:t>
      </w:r>
    </w:p>
    <w:p>
      <w:r>
        <w:t>Der Beschuldigte liess den Beweisantrag stellen, wonach ein ballisti- sches Gutachten in Auftrag zu geben sei, welches sich darüber ausspreche, ob sich die Personen, die sich in der E._____ … befunden hätten, tatsächlich in einer sehr nahen Lebensgefahr im Sinne von Art. 140 Ziff. 4 StGB befunden hätten (HD Urk. 93 S. 3). Wie sich aus den nachstehenden Erwägungen (vgl. insbeson- dere III.4.4) ergibt, besteht kein Anlass, ein solches Gutachten erstellen zu las- sen.</w:t>
      </w:r>
    </w:p>
    <w:p>
      <w:r>
        <w:rPr>
          <w:b/>
        </w:rPr>
        <w:t>E. 4</w:t>
      </w:r>
    </w:p>
    <w:p>
      <w:r>
        <w:t>Die Verteidigung des Beschuldigten brachte vor, das Urteil der Vor- instanz sei im Sinne von Art. 409 StPO aufzuheben, da der Beschuldigte durch vorbefasste Richter in Verletzung seines Gehörsanspruchs verurteilt worden sei. Die Hauptverhandlung habe 2,5 Tage gedauert, unterbrochen nur von den Mit- tagspausen. Für die Urteilsberatung habe das Gericht nur gerade eine Stunde verwendet. Die Verhandlung sei um 12.00 Uhr geschlossen, das Urteil bereits um 13.30 Uhr verkündet worden. Es sei schlicht nicht möglich, in einer Stunde eine umfassende Beratung unter Einbezug aller Richter durchzuführen. Das Gericht habe zwei Täter, verschiedenste Delikte und schwierige Rechtsfragen zu beurtei- len gehabt. In einer Stunde könne der sehr umfangreiche Sachverhalt nicht gehö- rig im Gremium diskutiert, die einzelnen Rechtsfragen abgeklärt, eine Subsumie- rung des Sachverhaltes erfolgen und im Rahmen der Strafzumessung die persön- lichen Verhältnisse der Beschuldigten ausreichend gewürdigt werden. Damit sei das Gericht nicht ordnungsgemäss zusammengesetzt, voreingenommen und be- fangen gewesen und habe den Anspruch des Beschuldigten auf rechtliches Ge- hör verletzt (HD Urk. 103 S. 4 f.).</w:t>
      </w:r>
    </w:p>
    <w:p>
      <w:r>
        <w:t>- 8 - Auf diesen Rückweisungsantrag des Beschuldigten kann bereits aus formel- len Gründen nicht eingetreten werden, da der Antrag zu spät gestellt wurde. Die diesbezüglichen Vorbringen hätten spätestens als Vorfrage in den Berufungspro- zess eingebracht werden müssen. Dies geschah nicht (vgl. Prot. II S. 7). Wäre dem Antrag nämlich stattgegeben worden, hätte sich die Durchführung der Beru- fungsverhandlung erübrigt. Auch in materieller Hinsicht erweist sich der Antrag auf Rückweisung wegen Befangenheit als unbegründet. Zwar ist der Verteidigung beizupflichten, dass die Verhandlung zweieinhalb Tage (Prot. I S. 11 ff.) und die Beratung (nur) von 11.50 Uhr bis 13.30 Uhr – mithin eine Stunde und 40 Minuten – gedauert hat (Prot. I S. 34). Es gilt jedoch zu bedenken, dass der Urteilsfindungs- und Meinungsbil- dungsprozess bereits während der Hauptverhandlung und nicht erst in der Bera- tung einsetzt. Des Weiteren dauerte die erstinstanzliche Hauptverhandlung auch deshalb sehr lange, da über die Taten zweier Beschuldigter – mit den üblichen Folgen (zwei Einvernahmen, zwei Verteidigerplädoyers, längeres Plädoyer der Anklagebehörde) – zu befinden war. Indes deckten sich viele der sich stellenden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