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SB120283 vom 8. März 2013</w:t>
      </w:r>
    </w:p>
    <w:p>
      <w:r>
        <w:t>ZH Obergericht, 2013-03-08, DE</w:t>
      </w:r>
    </w:p>
    <w:p>
      <w:r>
        <w:rPr>
          <w:b/>
        </w:rPr>
        <w:t xml:space="preserve">Quelle: </w:t>
      </w:r>
      <w:r>
        <w:t>https://mcp.opencaselaw.ch/entscheid/zh_obergericht_SB120283</w:t>
      </w:r>
    </w:p>
    <w:p>
      <w:r>
        <w:t>FR: ZH_OBERGERICHT SB120283 du 8 mars 2013</w:t>
      </w:r>
    </w:p>
    <w:p>
      <w:r>
        <w:t>IT: ZH_OBERGERICHT SB120283 del 8 marzo 2013</w:t>
      </w:r>
    </w:p>
    <w:p>
      <w:pPr>
        <w:pStyle w:val="Heading2"/>
      </w:pPr>
      <w:r>
        <w:t>Erwägungen</w:t>
      </w:r>
    </w:p>
    <w:p>
      <w:r>
        <w:rPr>
          <w:b/>
        </w:rPr>
        <w:t>E. 1</w:t>
      </w:r>
    </w:p>
    <w:p>
      <w:r>
        <w:t>Mit Urteil vom 5. März 2012 sprach das Bezirksgericht Zürich den Beschuldig- ten des Angriffs im Sinne von Art. 134 StGB schuldig und bestrafte ihn mit 15 Mo- naten Freiheitsstrafe, unter Anrechnung von 2 Tagen Untersuchungshaft. Der Vollzug der Freiheitsstrafe wurde unter Ansetzung einer Probezeit von 2 Jahren aufgeschoben. Der Beschuldigte wurde ferner zu Schadenersatz- und Genugtu- ungszahlungen an den Privatkläger verpflichtet (Urk. 78/1).</w:t>
      </w:r>
    </w:p>
    <w:p>
      <w:r>
        <w:rPr>
          <w:b/>
        </w:rPr>
        <w:t>E. 2</w:t>
      </w:r>
    </w:p>
    <w:p>
      <w:r>
        <w:t>Gegen das Urteil, das am gleichen Tag mündlich eröffnet wurde (Prot. I S. 23), liess der Privatkläger am 6. März 2012 Berufung anmelden (Urk. 69). Der Be- schuldigte meldete am 13. März 2012 seine Berufung an (Urk. 72). Das begrün- dete Urteil wurde dem Privatkläger und dem Beschuldigten am 12. Juni 2012 zu- gestellt (Urk. 75/1 und 75/2). Mit Eingabe vom 19. Juni 2012 reichte der Beschul- digte seine Berufungserklärung ein (Urk. 77). Am 2. Juli 2012 folgte die Beru- fungserklärung des Privatklägers (Urk. 78/1). Die Staatsanwaltschaft verzichtete auf Anschlussberufung und beantragte die Bestätigung des vorinstanzlichen Ur- teils (Urk. 82).</w:t>
      </w:r>
    </w:p>
    <w:p>
      <w:r>
        <w:rPr>
          <w:b/>
        </w:rPr>
        <w:t>E. 3</w:t>
      </w:r>
    </w:p>
    <w:p>
      <w:r>
        <w:t>Der Beschuldigte focht das Urteil vollumfänglich an. Der Privatkläger be- schränkte seine Berufung auf die Dispositiv-Ziffern 1-5 des vorinstanzlichen Ur- teils.</w:t>
      </w:r>
    </w:p>
    <w:p>
      <w:r>
        <w:rPr>
          <w:b/>
        </w:rPr>
        <w:t>E. 4</w:t>
      </w:r>
    </w:p>
    <w:p>
      <w:r>
        <w:t>Dass der Beschuldigte angeblich mit seiner Flasche bewusst neben den Privat- kläger geschlagen und ihn ansonsten während der ganzen Auseinandersetzung weder geschlagen noch getreten habe (Urk. 66 S. 2), erweist sich als reine Schutzbehauptung, die durch die Aussagen der übrigen Beteiligten klar widerlegt wird. Der Privatkläger lässt vorbringen, aus seinen und den Aussagen von E._____ und H._____ gehe klar hervor, dass der Beschuldigte ihn mit einer Flasche geschla- gen habe (Urk. 78/1 S. 6). Bereits die Vorinstanz hat aber darauf hingewiesen, dass E._____, der ein Kollege des Privatklägers ist, erst in seiner zweiten und im Vergleich zur ersten auffällig detaillierteren Einvernahme erwähnt hatte, der Be- schuldigte habe mit einer Flasche zugeschlagen (Urk. Urk. 15/7 und Urk. 15/8 S. 4), was nicht für die Glaubhaftigkeit seiner Aussagen spricht. Zudem konnte E._____ diesen angeblich beobachteten Schlag auf entsprechende Frage der Staatsanwältin nicht recht beschreiben und blieb unklar, wo am Kopf der Be- schuldigte den Privatkläger getroffen haben soll ("Ich will nichts Falsches sagen, ich muss überlegen. … Ich denke von vorne. Auf der Seite."; vgl. Urk. 15/8 S. 6). Viel naheliegender erscheinen die tatnäheren Schilderungen von E._____ bei der Polizei, wo er - ohne sachdienliche Angaben machen zu können - von herumste- henden Leuten und einem riesigen Durcheinander gesprochen hatte und dass man am Morgen mit Alkohol im Blut nicht alles wirklich gut sehe (Urk. 15/7 S. 3 f. ). Dadurch wird die Darstellung des Privatklägers jedenfalls nicht gestützt. H._____, ein Schulkollege des Privatklägers, der rund ein halbes Jahr später zum ersten und einzigen Mal zum Vorfall aussagte und von der Polizei zur Zeugenbe- fragung abgeholt werden musste, nachdem er zwei an ihn erlassenen Vorladun-</w:t>
      </w:r>
    </w:p>
    <w:p>
      <w:r>
        <w:t>- 8 - gen keine Folge geleistet hatte, wiederum erwähnte, dass der Beschuldigte zwei Flaschen gegen den Privatkläger geworfen und eine den Privatkläger im Bereich der Schulter getroffen habe (Urk. 15/23 S. 2 f.), was der Schilderung aller übrigen Beteiligten widerspricht und schon deshalb unglaubhaft ist. Abgesehen davon räumte auch H._____ ein, angetrunken gewesen zu sein; er habe vielleicht ein paar rote Vodka Redbull getrunken (Urk. 15/23 S. 4). Weiter erklärte er am Schluss der Einvernahme, er habe den Privatkläger nie aggressiv erlebt, dieser könne gar nicht aggressiv sein (Urk. 15/23 S. 4). Diese Behauptung erscheint be- schönigend und verharmlosend und steht im Gegensatz zur aktenkundigen Vor- geschichte in der fraglichen Nacht und zu früheren Ereignissen andernorts (vgl. auch Urk. 15/28 S. 2 f.). Der Zeuge I._____ hingegen stützt mit seiner Aussage, der Beschuldigte habe versucht, den Privatkläger mit einer Flasche zu schlagen, er habe ihn aber verfehlt, die entsprechende anfängliche Aussage des Beschul- digten und nicht die Darstellung des Privatklägers (Urk. 15/28 S. 3 f.). Als Inhaber der Security Firma hatte I._____ zwar mit dem Beschuldigten geschäftlich zu tun. Gründe, weshalb er den Beschuldigten schützen sollte, sind jedoch nicht ersicht- lich, zumal der Zeuge die Rolle des Beschuldigten nicht beschönigte. Somit lässt sich nicht erstellen, dass der Beschuldigte den Privatkläger mit einer Flasche ge- troffen hat. Umgekehrt steht aufgrund der Aussagen des Beschuldigten fest, dass er einen gezielten Schlag mit einer Flasche gegen das Gesicht des Privatklägers geführt hatte, mithin diesen treffen und ihm weh tun wollte, wobei der Privatkläger aber ausgewichen war. Der Beschuldigte hatte damit in seinen eigenen Worten überreagiert (Urk. 13/3 S. 4 und 8 f.). Darauf ist abzustellen, zumal der Beschul- digte damals aufgrund der Pfeffersprayattacke des Privatklägers eingestande- nermassen sehr erzürnt war. Sein Verhalten deckte sich mit seiner Stimmung. Die spätere Relativierung durch den Beschuldigten, wonach er absichtlich nicht ge- troffen habe und es ihm mehr darum gegangen sei, dem Privatkläger Angst zu machen (Urk. 13/4 S. 1 f.), ist wie erwähnt als blosse Ausflucht zu werten. Weiter ist durch diverse Zeugenaussagen erwiesen, dass der Beschuldigte zu- sammen mit einem weiteren Beteiligten auf den Privatkläger eingeschlagen und -getreten hat, nicht aber, wie oft jeder der Beteiligten dies getan hat. Ob ein Mittä- ter den Privatkläger festgehalten hat, während der Beschuldigte auf diesen ein-</w:t>
      </w:r>
    </w:p>
    <w:p>
      <w:r>
        <w:t>- 9 - schlug, lässt nicht rechtsgenügend erstellen. Dies ist - da nicht explizit eingeklagt - ohnehin nicht von besonderer Relevanz. Ebenso wenig lässt sich sodann be- weisen, dass der Beschuldigte gegen den Kopf bzw. das Gesicht des Privatklä- gers trat, als dieser am Boden lag. Laut dem Privatkläger handelte es sich um einen Tritt (Urk. 14/2 S. 10), während gemäss dem Zeugen E._____ nicht der Be- schuldigte, sondern eine andere Person dem Privatkläger einen Fusstritt verab- reicht hat (Urk. 15/7 S. 3; Urk. 15/8 S. 5 ff.). Als einziger statuierte der Zeuge H._____, der Beschuldigte sei dem Privatkläger mit dem Fuss auf das Gesicht gestanden (Urk. 15/23 S. 3). Diese Behauptung geht sogar über die Darstellung des Privatklägers hinaus. Da die Aussagen H._____s wie gesehen als überzeich- net und daher unglaubhaft zu taxieren sind, ist darauf nicht abzustellen. Die Be- weiswürdigung der Vorinstanz ist insofern zu korrigieren.</w:t>
      </w:r>
    </w:p>
    <w:p>
      <w:r>
        <w:rPr>
          <w:b/>
        </w:rPr>
        <w:t>E. 5</w:t>
      </w:r>
    </w:p>
    <w:p>
      <w:r>
        <w:t>Das Gericht schiebt den Vollzug einer Strafe in der Regel auf, wenn eine unbe- dingte Strafe nicht als notwendig erscheint, um den Täter von der Begehung wei- terer Verbrechen oder Vergehen abzuhalten (Art. 42 Abs. 1 StGB). Die objektiven Voraussetzungen für die Gewährung des bedingten Strafvollzuges sind vorlie- gend erfüllt, da heute eine Freiheitsstrafe von 15 Monaten auszufällen ist und der Beschuldigte in den letzten fünf Jahren vor der Tat nicht zu einer bedingten oder unbedingten Freiheitsstrafe von mindestens sechs Monaten oder zu einer Geld- strafe von mindestens 180 Tagessätzen verurteilt worden ist (Urk. 79). Subjektiv weist der Beschuldigte nur eine, weit zurückliegende und nicht einschlägige Vor- strafe auf, für die zudem nur eine Busse verhängt worden war. Seit dem heute zu beurteilenden Vorfall hat er sich wohl verhalten. Es ist deshalb davon auszuge- hen, dass eine bedingte Freiheitsstrafe ihn genügend beeindrucken wird, damit er künftig nicht mehr delinquieren wird. Dem Beschuldigten ist folglich der bedingte Strafvollzug unter Ansetzung einer Probezeit von 2 Jahren zu gewähren. V. Zivilansprüche 1. Die geschädigte Person kann zivilrechtliche Ansprüche aus der Straftat entwe- der selbständig auf dem Wege des Zivilprozesses oder adhäsionsweise durch</w:t>
      </w:r>
    </w:p>
    <w:p>
      <w:r>
        <w:t>- 13 - schriftliches oder mündliches Begehren an das für den Entscheid über die Ankla- ge zuständige Strafgericht geltend machen (Art. 119 i.V.m. Art. 122 Abs. 1 StPO). Das Strafgericht kann die Zivilansprüche auf den Zivilweg verweisen, wenn die vollständige Beurteilung des Zivilanspruches unverhältnismässig aufwändig wäre. Das Gericht entscheidet in diesem Falle nur dem Grundsatz nach und verweist die Zivilklage im Übrigen auf den Zivilweg (Art. 126 Abs. 3 StPO). 2. Die Vorinstanz hat die allgemeinen Voraussetzungen für die Zusprechung von Schadenersatz und Genugtuung zutreffend dargelegt. Um unnötige Wiederholun- gen zu vermeiden kann auf die entsprechenden Ausführungen in den vorinstanz- lichen Erwägungen verwiesen werden (Urk. 76 S. 47 ff.). 3. Der Privatkläger verlangt Fr. 7‘000.-- als Schadenersatz. Fr. 6'000.-- begründet er mit dem Umstand, er sei durch die Tat des Beschuldigten während 12 Tagen arbeitsunfähig gewesen und habe deswegen auch mit seinem sich im Aufbau be- findlichen Unternehmen weniger Umsatz und Gewinn erzielt, als er wieder habe arbeiten können. Zudem seien beim Vorfall seine Kleider im Wert von Fr. 1‘000.-- zerstört worden. Der Privatkläger konnte aber weder die Höhe des geltend ge- machten Verdienstausfalls noch das Ausmass seines entgangenen Gewinns be- legen. Er gibt zudem selbst zu, dass er den Wert der zerstörten Kleider nicht be- legen kann, macht aber geltend, es sei gerichtsnotorisch, dass man mit teuren Kleidern in den Ausgang gehe. Bereits die Vorinstanz hat in diesem Zusammenhang korrekt festgehalten, dass der Geschädigte selbst von einem damaligen Monatseinkommen von Fr. 2'000.-- bis Fr. 3'000.-- ausging (Urk. 76 S. 48 f.). Was den Wert der zerstörten Kleider betrifft, so ist darauf hinzuweisen, dass der Privatkläger diesen zuerst auf Fr. 500.-- und dann auf Fr. 1‘000.-- bezifferte, diese Diskrepanz aber nicht weiter erläuterte. Auch wenn keine Entschädigung für allfälligen zukünftigen Schaden, namentlich für eine Psychotherapie, mehr gefordert wird, würde eine Abklärung der Schadenersatzansprüche immer noch ein umfangreiches Beweisverfahren und damit eine erhebliche Verzögerung des Verfahrens bewirken.</w:t>
      </w:r>
    </w:p>
    <w:p>
      <w:r>
        <w:t>- 14 - Unter diesen Umständen ist der Entscheid der Vorinstanz zu bestätigen und fest- zustellen, dass der Beschuldigte gegenüber dem Privatkläger aus dem eingeklag- ten Ereignis dem Grundsatze nach schadenersatzpflichtig ist, wobei er aber zur genauen Feststellung des Umfanges des Schadenersatzanspruchs auf den Weg des Zivilprozesses zu verweisen ist. 4. Der Privatkläger fordert Fr. 12‘000.-- zuzüglich Zins zu 5% seit dem 1. Novem- ber 2009 als Genugtuung. Er gibt als Begründung an, dass er eine eingedrückte Fraktur der Kieferhöhlen-Vorderwand links mit Gefühlsstörung im Versorgungs- gebiet des Nervus infraorbitalis erlitten habe und an einer Lähmung seiner linken Gesichtshälfte leide. Da seine Nervenregeneration seit 1,5 Jahren keine Fort- schritte mehr mache, sei nicht damit zu rechnen, dass sich dies noch ändere. Zu- dem leide er an einer posttraumatischen Belastungsstörung. Damit sei erstellt, dass er bleibende Schäden erlitten habe und es sei von einer 10-15% Invalidität auszugehen (Urk. 78/1 S. 13 f., vgl. Urk. 16/5 und Urk. 48/6). Wie bereits die Vorinstanz festhielt, musste der Privatkläger aufgrund der erlitte- nen Verletzungen zwei Tage im Spital verbringen und war 13 Tage arbeitsunfä- hig. Seine linke Gesichtshälfte wurde bleibend geschädigt (Urk. 78/6). Hinzu kommen die psychischen Auswirkungen des erlittenen Angriffes. Angesichts der Brutalität, mit der der Beschuldigte und sein Mittäter vorgegangen waren, tritt der Umstand, dass der Privatkläger die Tat durch seinen eigenen Pfeffersprayangriff mindestens teilweise provoziert hatte, in den Hintergrund. Ein gewisses Selbst- verschulden ist aber dennoch nicht zu verneinen. Für die geltend gemachte post- traumatische Belastungsstörung sind keine medizinischen Belege vorhanden. Dass ein so brutaler Angriff, wie ihn der Privatkläger erlebt hat, aber auch psychi- sche Wunden hinterlässt, ist gerichtsnotorisch und für die Zumessung der Genug- tuungssumme relevant. Der Beschuldigte ist daher zu verpflichten, dem Privatkläger eine Genugtuung von Fr. 5‘000.– zuzüglich Zins zu 5 % seit dem 1. November 2009 zuzusprechen. Im Mehrbetrag ist das Genugtuungsbegehren abzuweisen.</w:t>
      </w:r>
    </w:p>
    <w:p>
      <w:r>
        <w:t>- 15 - VI. Kosten- und Entschädigungsfolgen 1. Bei diesem Ausgang des Verfahrens ist das vorinstanzliche Kosten- und Ent- schädigungsdispositiv (Dispositivziffern 6-7) zu bestätigen. 2. Die Kosten des Rechtsmittelverfahrens tragen die Parteien nach Massgabe ihres Obsiegens oder Unterliegens. Erwirkt eine Partei, die ein Rechtsmittel ergrif- fen hat, einen für sie günstigeren Entscheid, so können ihr die Verfahrenskosten auferlegt werden, wenn der angefochtene Entscheid nur unwesentlich abgeändert wird (Art. 428 Ziff.1 und 2 StPO). Der Beschuldigte unterliegt mit seinen Anträgen vollumfänglich. Der Privatkläger unterliegt mit seinen Anträgen auf Zusprechung eines höheren Schadenersatzes vollumfänglich und bezüglich einer höheren Ge- nugtuung teilweise. Es rechtfertigt sich deshalb, die Kosten des Berufungsverfah- rens zu 4/5 dem Beschuldigten und zu 1/5 dem Privatkläger aufzuerlegen. Die Kosten der amtlichen Verteidigung sind einstweilen auf die Gerichtskasse zu nehmen, unter Vorbehalt der Rückzahlungspflicht zu 4/5 gemäss Art. 135 Abs. 4 StPO (Art. 138 StPO). Da der Privatkläger teilweise obsiegt, ist der Beschuldigte zu verpflichten, ihm für das gerichtliche Verfahren beider Instanzen eine reduzierte Prozessentschädi- gung von Fr. 8'000.-- (inkl. MWSt.)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