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SB120252 vom 15. Oktober 2012</w:t>
      </w:r>
    </w:p>
    <w:p>
      <w:r>
        <w:t>ZH Obergericht, 2012-10-15, DE</w:t>
      </w:r>
    </w:p>
    <w:p>
      <w:r>
        <w:rPr>
          <w:b/>
        </w:rPr>
        <w:t xml:space="preserve">Quelle: </w:t>
      </w:r>
      <w:r>
        <w:t>https://mcp.opencaselaw.ch/entscheid/zh_obergericht_SB120252</w:t>
      </w:r>
    </w:p>
    <w:p>
      <w:r>
        <w:t>FR: ZH_OBERGERICHT SB120252 du 15 octobre 2012</w:t>
      </w:r>
    </w:p>
    <w:p>
      <w:r>
        <w:t>IT: ZH_OBERGERICHT SB120252 del 15 ottobre 2012</w:t>
      </w:r>
    </w:p>
    <w:p>
      <w:pPr>
        <w:pStyle w:val="Heading2"/>
      </w:pPr>
      <w:r>
        <w:t>Erwägungen</w:t>
      </w:r>
    </w:p>
    <w:p>
      <w:r>
        <w:rPr>
          <w:b/>
        </w:rPr>
        <w:t>E. 3</w:t>
      </w:r>
    </w:p>
    <w:p>
      <w:r>
        <w:t>Nachfolgend wird verschiedentlich auf die zutreffenden Erwägungen der Vorinstanz zu verweisen sein. Dies geschieht jeweils in Anwendung von Art. 82 Abs. 4 StPO, ohne dass dies jedes Mal speziell angefügt wird.</w:t>
      </w:r>
    </w:p>
    <w:p>
      <w:r>
        <w:rPr>
          <w:b/>
        </w:rPr>
        <w:t>E. 3.1</w:t>
      </w:r>
    </w:p>
    <w:p>
      <w:r>
        <w:t>Unter dem Titel des objektiven Tatverschuldens ist die Schwere der Ver- letzung oder das Mass der Gefährdung des geschützten Rechtsgut zu berück- sichtigen. Weiter ist die Verwerflichkeit des täterischen Handelns zu beurteilen. Darunter ist alles zu verstehen, was die Tat begleitet oder sie sonst prägt, das heisst z.B. die Tatmodalitäten wie Ort, Zeit, Dauer, Mittel und Art, womit auch die kriminelle Energie angesprochen ist, die der Täter aufwenden musste (Wiprächti- ger in: BSK Strafrecht I, 2. Aufl. Basel 2007, N 69-87 zu Art. 47). Zur subjektiven Seite gehört vor allem die Intensität des verbrecherischen Willens, die Freiheit des Täters, sich für das Recht und gegen das Unrecht zu entscheiden. Es stellt sich somit die Frage, wie dem Täter die objektive Tatschwere tatsächlich anzu- rechnen ist. Dazu gehören etwa die Frage der Zurechnungs- beziehungsweise Schuldfähigkeit: Wer in seiner Einsichts- und/oder Handlungsfähigkeit beein- trächtigt ist, den trifft letztlich ein geringerer subjektiver Tatvorwurf (Wiprächtiger in: BSK Strafrecht I, a.a.O. N 88 -91 zu Art. 47).</w:t>
      </w:r>
    </w:p>
    <w:p>
      <w:r>
        <w:rPr>
          <w:b/>
        </w:rPr>
        <w:t>E. 3.2</w:t>
      </w:r>
    </w:p>
    <w:p>
      <w:r>
        <w:t>Dass der Beschuldigte grossen Schaden anrichtete, zeigt sich nicht nur aufgrund der hohen Schadenssumme, welche sich auf rund Fr. 350'000.– beläuft. Ein Blick in die Fotodokumentation der Kantonspolizei Zürich reicht aus, um das</w:t>
      </w:r>
    </w:p>
    <w:p>
      <w:r>
        <w:t>- 24 - Ausmass des Schadens zu erfassen; sie zeigt eine vollständig zerstörte Aussen- fassade des …zentrums (Urk. 1/9). Bedenklich ist indes insbesondere die Tatsa- che, dass der Beschuldigte ein Feuer an der Fassade eines Gebäudes entfachte, in welchem sich zwei Festgemeinschaften befanden, unter ihnen auch seine Freunde oder zumindest Bekannte. Zwar hatte der Beschuldigte die brennbare Flüssigkeit nicht ans Fest mitgenommen, sondern entnahm diese einem dort ste- henden Putzschrank. Die Tat war mithin nicht von langer Hand geplant. Doch wenn ein Täter im Wissen darum, dass sich Menschen im Gebäude befinden, Feuer an dessen Fassade legt - und dies nicht etwa 'nur' an einer Stelle, sondern gleich an zwei Stellen -, ist von einer erheblichen kriminellen Energie auszuge- hen. Sein Vorgehen zeugt von erschreckender Gleichgültigkeit gegenüber frem- den Rechtsgütern, insbesondere auch der Sicherheit und Gesundheit seiner dort anwesenden Freunde und Bekannten. Nach Beurteilung der objektiven Tatkom- ponente ist das Verschulden des Täters im mittleren Bereich anzusiedeln.</w:t>
      </w:r>
    </w:p>
    <w:p>
      <w:r>
        <w:rPr>
          <w:b/>
        </w:rPr>
        <w:t>E. 3.3</w:t>
      </w:r>
    </w:p>
    <w:p>
      <w:r>
        <w:t>In subjektiver Hinsicht ist festzuhalten, dass das Verschulden eines Täters, der eine Tat vorsätzlich begeht, wesentlich schwerer zu werten ist, als das Ver- schulden eines Täters, der "bloss" fahrlässig oder mit Eventualvorsatz handelt. Dies ist beim Verschulden zu berücksichtigen, wiegt dieses doch dann geringer (vgl. Urteil des Bundesgerichts 6P.119/2003/6S.333/2003 vom 20. Januar 2004, Erw. II. 7.5.; Stratenwerth, Schweizerisches Strafrecht, AT II, 2.A., Bern 2006, S. 185 f. N 25 ff. und Hans Wiprächtiger in BSK StGB I, 2.A., Basel 2007, N 89 zu Art. 47 StGB). Der Beschuldigte hat die Tat eventualvorsätzlich begangen, dies ist ihm leicht verschuldensmindernd anzurechnen (vgl. vorstehend Ziff. II. A. 4.1). Ebenfalls ist davon auszugehen, dass die Hemmschwelle des Beschuldigten durch den Alkoholkonsum etwas herabgesetzt war. Dies relativiert das objektive Tatverschulden leicht. Ein Motiv, welches verschuldensmindernd berücksichtigt werden könnte, ist nicht ersichtlich: Anlässlich seines Geständnisses machte er geltend, aus Langeweile gehandelt zu haben, er sei neugierig gewesen, was passieren würde (Urk. 1/13 S. 2). Insgesamt wird das objektive Tatverschulden durch die subjektive Tatschwere somit nur leicht relativiert.</w:t>
      </w:r>
    </w:p>
    <w:p>
      <w:r>
        <w:t>- 25 -</w:t>
      </w:r>
    </w:p>
    <w:p>
      <w:r>
        <w:rPr>
          <w:b/>
        </w:rPr>
        <w:t>E. 3.4</w:t>
      </w:r>
    </w:p>
    <w:p>
      <w:r>
        <w:t>Nach Beurteilung der objektiven und subjektiven Seite ist das Verschulden mit der Vorinstanz als erheblich zu qualifizieren. Dies entspricht einer Einsatz- strafe für die gesamte Tatschwere von rund 5 Monaten Freiheitsentzug. 4. Straferhöhung aufgrund der Deliktsmehrheit</w:t>
      </w:r>
    </w:p>
    <w:p>
      <w:r>
        <w:rPr>
          <w:b/>
        </w:rPr>
        <w:t>E. 4</w:t>
      </w:r>
    </w:p>
    <w:p>
      <w:r>
        <w:t>Die Verteidigung hat schon vor Vorinstanz ausgeführt, die Anklageschrift genüge den Anforderung des Anklageprinzips nicht. So sei bezüglich der Brand- stiftung in der Anklage kein Hinweis auf das Motiv zu finden und der subjektive Tatbestand nur rudimentär und ungenügend genau beschrieben. Weiter sei die diesbezügliche Zeitangabe "zwischen 22.30 Uhr und 23.15 Uhr" zu lange und</w:t>
      </w:r>
    </w:p>
    <w:p>
      <w:r>
        <w:t>- 7 - ungenügend genau (Urk. 36 S. 26 f.; Urk. 67 S. 4 f.). Auch bezüglich des Haus- friedensbruchs sei zu wenig präzise umschrieben, wie lange und zu welchem Zweck sich der Beschuldigte im Bahnhof E._____ aufgehalten habe. Ebenso ste- he nichts über den subjektiven Tatbestand und über den Zweck des Aufenthaltes (Urk. 36 S. 29). Schlussendlich genüge auch die Umschreibung des Sachver- haltes der Körperverletzung weder im objektiven noch im subjektiven Tatbestand für eine Verurteilung. Individuelle Angaben darüber, weshalb die Anklageschrift von eventualvorsätzlichem Versuch der Körperverletzung ausgehe, würden fehlen (Urk. 36 S. 26-31).</w:t>
      </w:r>
    </w:p>
    <w:p>
      <w:r>
        <w:rPr>
          <w:b/>
        </w:rPr>
        <w:t>E. 4.1</w:t>
      </w:r>
    </w:p>
    <w:p>
      <w:r>
        <w:t>Die Einsatzstrafe ist unter Berücksichtigung des Asperationsprinzipes wegen Deliktsmehrheit angemessen zu erhöhen.</w:t>
      </w:r>
    </w:p>
    <w:p>
      <w:r>
        <w:rPr>
          <w:b/>
        </w:rPr>
        <w:t>E. 4.1.1</w:t>
      </w:r>
    </w:p>
    <w:p>
      <w:r>
        <w:t>Hinsichtlich des Tatverschuldens der versuchten Körperverletzung kann auf die Ausführungen im vorinstanzlichen Entscheid verwiesen werden (Urk. 47 S. 54). Führt man sich vor Augen, dass der Beschuldigte dem Geschädigten vor- erst mit der Faust ins Gesicht schlug und sodann zweimal mit dem Fuss ins Gesicht kickte, muss die Vorgehensweise des Beschuldigten als brutal bezeichnet werden. Sein Verhalten war darauf gerichtet, dem Geschädigten Verletzungen im sensiblen Bereich des Kopfes zuzufügen. Gemäss Polizeirapport sei vor Ort am Kiefer des Geschädigten nur eine schwache Rötung erkennbar gewesen (Urk. 2/1 S. 3). Er ist somit glimpflich davon gekommen, doch die Art und Weise wie der Beschuldigte den Geschädigten angriff, war ohne Weiteres geeignet, schwer- wiegendere Verletzungen herbeizuführen. In Ergänzung zum vorinstanzlichen Urteil ist zu berücksichtigen, dass der Beschuldigte die Tat eventualvorsätzlich beging (vgl. vorstehend Ziff. II. B. 1.3), was ihm leicht verschuldensmindernd anzurechnen ist. Auch der Versuch führt von Gesetzes wegen zu einer Minderung der Strafe (Art. 22 Abs. 1 i.V.m. Art. 48a StGB). Vorliegend ist dies jedoch nur minim strafmindernd zu berücksichtigen: Dass es letztlich nur bei einem Versuch zu einer einfachen Körperverletzung blieb, ist wohl dem Zufall zuzuschreiben; dies kann dem Beschuldigten nicht weitergehend positiv veranschlagt werden. Insgesamt ist trotz des eventualvorsätzlichen Vorgehens und Versuchs die Qualifikation des Verschuldens als nicht mehr leicht falladäquat und zu be- stätigen.</w:t>
      </w:r>
    </w:p>
    <w:p>
      <w:r>
        <w:rPr>
          <w:b/>
        </w:rPr>
        <w:t>E. 4.2</w:t>
      </w:r>
    </w:p>
    <w:p>
      <w:r>
        <w:t>Die Tatmehrheit führt vorliegend zu einer leichten Erhöhung der vorge- nannten Einsatzstrafe.</w:t>
      </w:r>
    </w:p>
    <w:p>
      <w:r>
        <w:t>- 26 -</w:t>
      </w:r>
    </w:p>
    <w:p>
      <w:r>
        <w:rPr>
          <w:b/>
        </w:rPr>
        <w:t>E. 4.2.1</w:t>
      </w:r>
    </w:p>
    <w:p>
      <w:r>
        <w:t>Die Anklagebehörde war aufgrund des Untersuchungsergebnisses nicht in der Lage, dem Ausbruch des Feuers eine exakte Uhrzeit zuzuordnen. In zeitlicher Hinsicht ist die Anklage indes keineswegs völlig unbestimmt, der Zeitpunkt wurde so weit wie möglich eingegrenzt. Die in der Anklageschrift genannte Zeitspanne, innert welcher der Brand gelegt wurde, beträgt lediglich 45 Minuten. Der Beschul- digte war jedenfalls in der Lage, konkrete Ausführungen dazu zu machen, wo er sich während der fraglichen 45 Minuten befand. Dies zeigt sich auch darin, dass er anlässlich der ersten polizeilichen Einvernahme fähig war zu berichten, wann er beim …zentrum ankam sowie mit wem, wo und wie er die Zeit verbracht habe (Urk. 1/12 S. 2 ff.). Das Recht auf Ermöglichung einer effektiven Verteidigung wurde somit keineswegs verletzt. Auch hinsichtlich des subjektiven Bereiches ist der Anklagevorhalt der Brand- stiftung genügend genau umschrieben. Wie bereits die Vorinstanz festhielt (Urk. 47 S. 8), geht aus der Anklageschrift klar hervor, dass dem Beschuldigten</w:t>
      </w:r>
    </w:p>
    <w:p>
      <w:r>
        <w:t>- 9 - vorgeworfen wird, gewusst zu haben, dass sein Verhalten den tatbestandsmässi- gen Erfolg verursacht und er letzteren wollte bzw. diesen zumindest in Kauf nahm. Sowohl die Wissens- als auch die Willenskomponente des subjektiven Tatbestandes wurden folglich genügend umschrieben. Nach herrschender Lehre und Praxis genügt im übrigen - wie dies bereits die Vorinstanz anführte (Urk. 47 S. 7 f.) - die Angabe, dass der Täter vorsätzlich die inkriminierte Tat begangen hat (Heimgarnter/Niggli in: BSK Schweizerisches Strafprozessrecht, a.a.O., N 33 zu Art. 325). Brandstiftung im Sinne von Art. 221 Abs.1 StGB erfordert sodann zur Erfüllung des Tatbestandes nebst dem (Eventual-) Vorsatz keine weiteren subjek- tiven Unrechtselemente (Weder in: Donatsch/Flachsmann/Hug/Weder, Kommen- tar zum Schweizerischen Strafgesetzbuch, Zürich 2010, 18. Aufl., N 7 ff. zu Art. 221 StGB). Das Motiv oder eine allenfalls weitergehende Absicht des Beschuldigten ist deshalb in der Anklageschrift nicht aufzuführen (a.a.O., N 34 zu Art. 325; so auch die Vorinstanz Urk. 47 S. 7 f.).</w:t>
      </w:r>
    </w:p>
    <w:p>
      <w:r>
        <w:rPr>
          <w:b/>
        </w:rPr>
        <w:t>E. 4.2.2</w:t>
      </w:r>
    </w:p>
    <w:p>
      <w:r>
        <w:t>Auch aus der Anklageschrift betreffend die versuchte einfache Körper- verletzung geht klar hervor, dass dem Beschuldigten vorgeworfen wird, gewusst zu haben, dass sein Verhalten den tatbestandsmässigen Erfolg verursachen kann und er letzteren wollte bzw. diesen zumindest in Kauf nahm (Anklageschrift Urk. 21 S. 3 f.: "Der Angeschuldigte handelte im Wissen darum, dass Faustschläge und Fusstritte ins Gesicht zu Verletzungen führen können (…) und nahm dies zumindest in Kauf"). Die Wissens- wie auch die Willenskomponente des subjektiven Tat- bestandes wurden folglich genügend umschrieben. Im übrigen kann auf die zu- treffenden Ausführungen im vorinstanzlichen Entscheid verwiesen werden (Urk. 47 S. 44 Ziff. 1.2.).</w:t>
      </w:r>
    </w:p>
    <w:p>
      <w:r>
        <w:rPr>
          <w:b/>
        </w:rPr>
        <w:t>E. 4.2.3</w:t>
      </w:r>
    </w:p>
    <w:p>
      <w:r>
        <w:t>Bezüglich des in der Anklageschrift unerwähnt gebliebenen subjektiven Tatbestands des Hausfriedensbruchs wird im angefochtenen Entscheid festge- halten, dass die Umschreibung des subjektiven Tatbestandes vorliegend nicht notwendig sei, da der betreffende Tatbestand nur als Vorsatzdelikt erfüllbar und der Hinweis auf den gesetzlichen Straftatbestand erfolgt sei. Auch die fehlende Angabe des Aufenthaltszwecks sei vorliegend nicht zu beanstanden (Urk. 47</w:t>
      </w:r>
    </w:p>
    <w:p>
      <w:r>
        <w:t>- 10 - S. 46 f. Ziff. C. 1.). Die Vorinstanz stützt sich hierbei auf den Bundesgerichtsent- scheid von 28. November 1994 (BGE 120 IV 348 S. 356). Entgegen dem vorerwähnten Bundesgerichtsentscheids hält Heimgarnter/Niggli (in: BSK Schweizerisches Strafprozessrecht, a.a.O., N 33 zu Art. 325) dafür, dass der subjektive Tatbestand in der Anklageschrift Erwähnung finden muss, wobei die grundsätzliche Angabe genügt, dass der Täter vorsätzlich die inkriminierte Tat begangen hat. Vorliegend wird der subjektive Tatbestand des Hausfriedensbruchs in der Ankla- geschrift mit keinem Wort erwähnt. Konkret kann ihr nicht entnommen werden, ob der Beschuldigte über das gegenüber ihm ausgesprochene Hausverbot über- haupt in Kenntnis gesetzt wurde. Es gilt aber auch zu bedenken, dass der Hausfriedensbruch nur bei vorsätzlicher Begehung strafbar ist und mit dem Umschreiben des objektiven Tatbestands in der Anklage dem Beschuldigten bereits implizit eine vorsätzliche Begehung vorgehalten wird. Das gegen den Beschuldigten ausgesprochene Hausverbot ist mit einem Datum versehen und folglich genügend präzisiert, ebenso Ort und Datum des Hausfriedensbruchs. Die vor Vorinstanz vorgebrachte Rüge, es sei zu wenig präzise umschrieben, wie lange und weshalb sich der Beschuldigte am Bahnhof E._____ befunden habe, ist bei konkreter Betrachtung des Vorfalls unbegründet, auch wenn nicht zu ver- kennen ist, dass die Anklagebehörde die Dauer des behaupteten rechtswidrigen Aufenthaltes in die Anklageschrift hätte aufnehmen sollen. Für den Beschuldigten bestanden zudem zu keinem Zeitpunkt Zweifel darüber, welches Verhalten ihm vorgeworfen wurde, zumal es sich vorliegend weder um einen diffizilen noch gravierenden Vorwurf handelt. Ausserdem wird nachfolgend zu zeigen sein (Ziff. II. C.), dass es dem Beschuldigten gelingt, sich in Bezug auf den Vorwurf des Hausfriedensbruchs wirksam zu verteidigen und den ihm vorgeworfenen Sachverhalt zu widerlegen. Die Ungenauigkeit in der Zeitangabe ("über eine längere Zeitdauer") ist folglich nicht von Bedeutung.</w:t>
      </w:r>
    </w:p>
    <w:p>
      <w:r>
        <w:rPr>
          <w:b/>
        </w:rPr>
        <w:t>E. 4.3</w:t>
      </w:r>
    </w:p>
    <w:p>
      <w:r>
        <w:t>Die Anklagschrift vermittelt dem Beschuldigten die für die Durchführung des Verfahrens und die Verteidigung notwendigen Informationen. Die Verteidi-</w:t>
      </w:r>
    </w:p>
    <w:p>
      <w:r>
        <w:t>- 11 - gungsrechte des Beschuldigten wurden keineswegs eingeschränkt, weshalb von einer Verletzung des Anklageprinzips nicht die Rede sein kann.</w:t>
      </w:r>
    </w:p>
    <w:p>
      <w:r>
        <w:rPr>
          <w:b/>
        </w:rPr>
        <w:t>E. 5</w:t>
      </w:r>
    </w:p>
    <w:p>
      <w:r>
        <w:t>Der Beschuldigte lässt wie bereits vor Vorinstanz beanstanden (Urk. 67 S. 5 ff.), dass die zweite polizeiliche Einvernahme vom 18. Juni 2010 (Urk. 1/13) nicht als Beweismittel verwertbar sei, da der Beschuldigte nicht verteidigt ge- wesen sei, obwohl es sich um einen Fall notwendiger Verteidigung gehandelt habe.</w:t>
      </w:r>
    </w:p>
    <w:p>
      <w:r>
        <w:rPr>
          <w:b/>
        </w:rPr>
        <w:t>E. 5.1</w:t>
      </w:r>
    </w:p>
    <w:p>
      <w:r>
        <w:t>Zum Vorleben des Beschuldigten kann einerseits auf die Untersuchungsak- ten und andererseits auf die Ausführungen im angefochtenen Entscheid verwie- sen werden (Urk. 47 S. 49 ff.). Aktualisierend liegen ein Bericht von O._____ von der P1._____ AG (Urk 60), eine Standortbestimmung der P2._____ vom 25. September 2012 (Urk. 61), ein Bericht der Sozialpädagogik und Ausbildung der P2._____ für die Zeit vom Februar 2011 bis September 2012 (Urk. 62) sowie ein Bildungsbericht vom 16. Januar 2012 (Urk. 63) bei den Akten. Diese zeichnen durchwegs ein unerfreuliches Bild der Entwicklungen beim Beschuldig- ten. Auffallend sind insbesondere seine zahlreichen Fehlzeiten und die Unfähig- keit, getroffene Abmachungen einzuhalten. Es deute gemäss O._____ alles auf einen Abbruch der Ausbildung hin (Urk. 60 S. 1). Anlässlich der Berufungsver- handlung wurde ausgeführt, der Beschuldigte habe sich im Fussball eine Verlet- zung zugezogen und daher oft gefehlt. Dies werde sich nun ändern. Das sei alles auch in der Zeit gewesen, als er alleine zu Hause gewesen sei (Urk. 64 S. 2 ff.). Eine positive Veränderung der familiären Situation des Beschuldigten ist nicht ersichtlich. Mit der Vorinstanz sind daher die problematischen familiären Ver- hältnisse strafmindernd zu berücksichtigen (Urk. 47 S. 55; vgl. hierzu auch Wiprächtiger in: BSK Strafrecht-I, a.a.O., N96 zu Art. 47).</w:t>
      </w:r>
    </w:p>
    <w:p>
      <w:r>
        <w:rPr>
          <w:b/>
        </w:rPr>
        <w:t>E. 5.2</w:t>
      </w:r>
    </w:p>
    <w:p>
      <w:r>
        <w:t>Im Widerspruch zur Vorinstanz (Urk. 47 S. 55 f.) und mit der Verteidigung (Urk. 67 S. 25) ist festzuhalten, dass dem Beschuldigten die Erziehungsverfügung vom 11. Mai 2010 der Jugendanwaltschaft Zürich-Stadt, mit welcher der Beschul- digte unter anderem wegen Raubes und einfacher Körperverletzung schuldig ge- sprochen wurde (Urk. 7/3), am Tag, als er die Körperverletzung zum Nachteil von B._____ beging, das heisst am 12. Mai 2010, mit grösster Wahrscheinlichkeit noch nicht zugestellt worden war. Dass jedoch bei der Jugendanwaltschaft ein Untersuchungsverfahren gegen ihn eröffnet worden war und eine Schutzmass- nahme lief, musste der Beschuldigte zweifelsfrei wissen. Er beging gleichwohl wiederum ein Gewaltdelikt und zwar - wie unter Ziff. II. B. 1.3 erwähnt - in der- selben Art und Weise, was von erheblicher Uneinsichtigkeit zeugt. Ein weiteres Zeugnis seiner Unbelehrbarkeit ist sodann die Tatsache, dass er die Brandstiftung während des Vollzugs der persönlichen Leistung beging (Urk. 16/7/2). Dies alles ist stark straferhöhend zu berücksichtigen.</w:t>
      </w:r>
    </w:p>
    <w:p>
      <w:r>
        <w:t>- 27 -</w:t>
      </w:r>
    </w:p>
    <w:p>
      <w:r>
        <w:rPr>
          <w:b/>
        </w:rPr>
        <w:t>E. 5.3</w:t>
      </w:r>
    </w:p>
    <w:p>
      <w:r>
        <w:t>Bei der Strafzumessung ist auch das Nachtatverhalten eines Täters mit zu berücksichtigen. Darunter fällt das Verhalten nach der Tat sowie im Strafverfahren (vgl. dazu: Wiprächtiger in: BSK Strafrecht-I, a.a.O., N 109 Absatz 2 zu Art. 47 StGB). Ein Geständnis, das kooperative Verhalten eines Täters bei der Auf- klärung von Straftaten sowie die Einsicht und Reue wirken strafmindernd (Wiprächtiger in: BSK Strafrecht-I, a.a.O., N 130 f. zu Art. 47 StGB). Bezüglich der versuchten Körperverletzung ist der Beschuldigte geständig, was ihm jedoch nur leicht strafmindernd anzurechnen ist. Mit der Vorinstanz ist auch das Geständnis in Bezug auf die Brandstiftung strafmindernd zu berücksichtigen; aufgrund des Widerrufs jedoch nur im leichten Ausmasse. Einsicht und aufrichtige Reue kann der Beschuldigte hinsichtlich der versuchten Körperverletzung nicht für sich reklamieren. Bis zur vorinstanzlichen Hauptver- handlung hatte er sich beim Opfer nicht entschuldigt, wobei er in Aussicht stellte, dies nachzuholen (Urk. 34 S. 7). Zwar hat sich der Beschuldigte nunmehr in einem Schreiben beim Opfer entschuldigt und ihm den entstandenen Schaden er- setzt (Urk. 66/1 und 66/2), aufrichtige Reue lässt sich aus dem Entschuldigungs- schreiben jedoch nur bedingt ableiten (Urk. 66/1: "Ich wollte dich nicht wirklich ver- letzen (…)."; "Deine Provokationen nehme ich dir übel, aber es ist auch klar, dass ich darauf nicht mit Schlägen reagieren darf."). Die Schadensdeckung erfolgte erst am Tag der Berufungsverhandlung (Urk. 66/2) und dürfte auch prozesstaktisch motiviert gewesen sein. 6.1 Die nach der Tatkomponente festgesetzte Einsatzstrafe von fünf Monaten ist aufgrund der Deliktsmehrheit zu erhöhen. Bei den Täterkomponenten über- wiegen die negativen Faktoren die positiven leicht. Wie die Vorinstanz korrekt anführte, kommt aufgrund der Schwere und der Anzahl der zu beurteilenden Taten vorliegend kein Verweis oder Busse in Betracht. Mit einer persönlichen Leistung wurde der Beschuldigte wie erwähnt bereits bestraft (act. 7/3), wobei er während deren Vollzug erneut delinquierte. Vorliegend kommt deswegen lediglich ein Freiheitsentzug in Frage. Die vor Vorinstanz ausgefällte</w:t>
      </w:r>
    </w:p>
    <w:p>
      <w:r>
        <w:t>- 28 - Strafe in Höhe von sechs Monaten erscheint den Taten und dem Verschulden des Beschuldigten angemessen und ist zu bestätigen. 6.2 An diese Dauer ist die Untersuchungshaft von 1 Tage anzurechnen (Art. 51StGB).</w:t>
      </w:r>
    </w:p>
    <w:p>
      <w:r>
        <w:rPr>
          <w:b/>
        </w:rPr>
        <w:t>E. 7</w:t>
      </w:r>
    </w:p>
    <w:p>
      <w:r>
        <w:t>Die Verteidigung beantragt eventualiter den bedingten Vollzug des Frei- heitsentzuges.</w:t>
      </w:r>
    </w:p>
    <w:p>
      <w:r>
        <w:rPr>
          <w:b/>
        </w:rPr>
        <w:t>E. 7.1</w:t>
      </w:r>
    </w:p>
    <w:p>
      <w:r>
        <w:t>Bezüglich der Voraussetzungen des bedingten oder teilbedingten Strafvoll- zuges kann zwecks Vermeidung von Wiederholungen auf die Erwägungen der Vorinstanz verwiesen werden (Urk. 47 S. 57).</w:t>
      </w:r>
    </w:p>
    <w:p>
      <w:r>
        <w:rPr>
          <w:b/>
        </w:rPr>
        <w:t>E. 7.2</w:t>
      </w:r>
    </w:p>
    <w:p>
      <w:r>
        <w:t>Angesichts der auszufällenden Strafe von sechs Monaten Freiheitsentzug ist die Voraussetzung für die Gewährung des bedingten oder teilbedingten Voll- zugs in objektiver Hinsicht erfüllt (Art. 35 JStG).</w:t>
      </w:r>
    </w:p>
    <w:p>
      <w:r>
        <w:rPr>
          <w:b/>
        </w:rPr>
        <w:t>E. 7.3</w:t>
      </w:r>
    </w:p>
    <w:p>
      <w:r>
        <w:t>In subjektiver Hinsicht ist für die Gewährung des bedingten oder teilbeding- ten Strafvollzuges das Fehlen einer ungünstigen Legalprognose erforderlich. Mit den Worten der Vorinstanz scheint in Bezug auf die versuchte Körperverletzung dem Beschuldigten das Verständnis für deren Unrechtsgehalt abzugehen. Er liess sich durch die Verletzungen, welche er seinem ersten Opfer am 25. Januar 2009 zugefügt hatte (Urk. 16/2/1-9; Urk. 7/3 S. 3), nicht beeindrucken. Trotz der darauf- folgenden Untersuchung und der Erziehungsverfügung vom 11. Mai 2010, ging er nach demselben Verhaltensmuster auf ein weiteres Opfer los. Bereits zweimal vor der heute zu beurteilenden Brandstiftung kam der Beschuldigte aufgrund von 'Spielereien' mit Feuer mit dem Gesetz in Konflikt (Urk. 14; Urk. 18). Bezeichnend für seine Uneinsichtigkeit ist sodann, dass er die Brandstiftung während eines Zeitraums beging, als er persönliche Leistung aufgrund der vorgenannten Erziehungsverfügung leistete (Urk. 16/7/2). Eine gute Legalprognose kann ihm somit nicht gestellt werden. Seit den vorliegend zu beurteilenden Vergehen hat sich der Beschuldigte indes wohl verhalten. Allerdings sind die Entwicklungen in seiner beruflichen Laufbahn wenig erfreulich. Es deutet alles auf einen Abbruch der Ausbildung hin (Urk. 60</w:t>
      </w:r>
    </w:p>
    <w:p>
      <w:r>
        <w:t>- 29 - S. 1). Da es aber insbesondere den Schutz des Jugendlichen zu verfolgen gilt sowie erzieherische Überlegungen im Vordergrund stehen (Art. 2 JStG) und die Entwicklung des Beschuldigten nicht durch einen übermässig langen Freiheits- entzug gehemmt werden soll, ist die Strafe teilbedingt auszusprechen. Es ist zu erwarten, dass die Warnwirkung des Teilaufschubes vorliegend angesichts des gleichzeitig angeordneten Teilvollzuges für die Zukunft des Beschuldigten bessere Bewährungsaussichten erlaubt.</w:t>
      </w:r>
    </w:p>
    <w:p>
      <w:r>
        <w:rPr>
          <w:b/>
        </w:rPr>
        <w:t>E. 7.4</w:t>
      </w:r>
    </w:p>
    <w:p>
      <w:r>
        <w:t>Ist für die Bemessung des vollziehbaren Teils der Strafe das Verschulden des Erwachsenen massgeblich, so stehen bei Jugendlichen hauptsächlich erzie- herische Überlegungen im Vordergrund (Gürber/Hug/Schläfli in: BSK Strafrecht-I, a.a.O., N 6 zu Art. 35 JStG). Der Beschuldigte befand sich bis anhin noch nie im Freiheitsentzug. Vorliegend kann deshalb davon ausgegangen werden, dass eine kurze unbedingte Phase eine nachhaltige Warnung sein wird und so eine erzieherische Wirkung erzielen kann, weshalb es sich rechtfertigt, den vollzieh- baren Teil auf zwei Monate festzusetzen. Im Umfang von vier Monaten ist der Freiheitsentzug aufzuschieben und die Probezeit auf ein Jahr festzusetzen. Die Anordnung der Vorinstanz, dass in Anwendung von Art. 35 Abs. 2 in Verbindung mit Art. 29 Abs. 3 JStG der Beschuldigte für die Dauer der Probezeit durch den zuständigen Sozialarbeiter der Jugendanwaltschaft zu begleiten ist, kann nicht bestätigt werden. Davon ausgehend, dass es – entsprechend dem Verweis in Art. 35 JStG – die Meinung des Gesetzgebers war, dass diese Begleitung während der Probezeit einer bedingt aufgeschobenen Sanktion zwingend anzuordnen ist, fällt die Bestimmung der geeigneten Person gemäss Art. 29 Abs. 3 JStG nicht in die Kompetenz des Gerichtes, weshalb eine entsprechende Anordnung nicht erlassen werden kann.</w:t>
      </w:r>
    </w:p>
    <w:p>
      <w:r>
        <w:rPr>
          <w:b/>
        </w:rPr>
        <w:t>E. 7.5</w:t>
      </w:r>
    </w:p>
    <w:p>
      <w:r>
        <w:t>Der Freiheitsentzug ist vorliegend nicht zugunsten der ambulanten Mass- nahme im Sinne von Art. 14 Abs. 1 JStG aufzuschieben; letztere lässt sich auch ohne den Therapiezweck zu gefährden vollzugsbegleitend durchführen.</w:t>
      </w:r>
    </w:p>
    <w:p>
      <w:r>
        <w:rPr>
          <w:b/>
        </w:rPr>
        <w:t>E. 7.6</w:t>
      </w:r>
    </w:p>
    <w:p>
      <w:r>
        <w:t>Für ein Electronic monitoring anstelle des Freiheitsentzuges besteht im Kanton Zürich zur Zeit keine gesetzliche Grundlage.</w:t>
      </w:r>
    </w:p>
    <w:p>
      <w:r>
        <w:t>- 30 - IV. Kosten- und Entschädigungsfolgen 1. Bei diesem Verfahrensausgang ist die Kostenauferlegung der Vorinstanz zu bestätigen (Dispositivziffern 11. und 12.). 2. Im Berufungsverfahren unterliegt der Beschuldigte beinahe vollumfänglich, weshalb ihm die Kosten des Berufungsverfahrens, mit Ausnahme der amtlichen Verteidigung, grundsätzlich aufzuerlegen sind (Art. 44 Abs. 2 JStPO i.V.m. Art. 428 Abs. 1 StPO). Im Verfahren gegen Jugendliche ist jedoch bei Bemessung, Auflage und Bezug der Verfahrenskosten den Verhältnissen und dem Fortkommen des Jugendlichen Rechnung zu tragen (Jositsch et al., a.a.O., S. 143). Der Beschuldigte befindet sich zurzeit in der Ausbildung. Er verfügt nur über ein geringes Einkommen (Lehrlingslohn). Die Schadenersatzforderungen werden den Beschuldigten finanziell schon erheblich belasten. Da nicht davon auszugehen ist, dass sich die finanzielle Lage des Beschuldigten in absehbarer Zeit ändern wird, und das Überbinden weiterer hoher Kosten der spezialpräven- tiven Zielsetzung des Jugendstrafrechts zuwiderlaufen würde, rechtfertigt es sich, die Kosten des Berufungsverfahrens auf lediglich Fr. 500.– festzusetzen und dem Beschuldigten aufzuerlegen. Die Kosten der amtlichen Verteidigung sind einst- weilen auf die Gerichtskasse zu nehmen, wobei der Beschuldigte auf das Nach- forderungsrecht gemäss Art. 135 Abs. 4 StPO hinzuweisen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