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SB120220 vom 3. September 2012</w:t>
      </w:r>
    </w:p>
    <w:p>
      <w:r>
        <w:t>ZH Obergericht, 2012-09-03, DE</w:t>
      </w:r>
    </w:p>
    <w:p>
      <w:r>
        <w:rPr>
          <w:b/>
        </w:rPr>
        <w:t xml:space="preserve">Quelle: </w:t>
      </w:r>
      <w:r>
        <w:t>https://mcp.opencaselaw.ch/entscheid/zh_obergericht_SB120220</w:t>
      </w:r>
    </w:p>
    <w:p>
      <w:r>
        <w:t>FR: ZH_OBERGERICHT SB120220 du 3 septembre 2012</w:t>
      </w:r>
    </w:p>
    <w:p>
      <w:r>
        <w:t>IT: ZH_OBERGERICHT SB120220 del 3 settembre 2012</w:t>
      </w:r>
    </w:p>
    <w:p>
      <w:pPr>
        <w:pStyle w:val="Heading2"/>
      </w:pPr>
      <w:r>
        <w:t>Erwägungen</w:t>
      </w:r>
    </w:p>
    <w:p>
      <w:r>
        <w:rPr>
          <w:b/>
        </w:rPr>
        <w:t>E. 29</w:t>
      </w:r>
    </w:p>
    <w:p>
      <w:r>
        <w:t>Februar 2012 sowie mit einer Busse von Fr. 300.--. Bezahlt der Beschuldigte die Busse schuldhaft nicht, so tritt an deren Stelle eine Ersatzfreiheitsstrafe von drei Tagen. 4. Diese Geldstrafe ist im Umfang von 90 Tagessätzen (abzüglich der zwei Tagessätze, welche als durch Untersuchungshaft geleistet gelten) innert der von der Inkassobehörde anzusetzenden Frist zu bezahlen. Der Vollzug der restlichen Geldstrafe von 90 Tagessätzen wird aufgescho- ben und die Probezeit auf drei Jahre festgesetzt. 5. Der Beschuldigte wird verpflichtet, der Privatklägerin Schadenersatz in der Höhe von Fr. 1'200.-- zu bezahlen. Im Mehrbetrag wird die Privatklägerin mit ihrem Schadenersatzbegehren auf den Weg des Zivilprozesses verwiesen. 6. Das erstinstanzliche Kosten- und Entschädigungsdispositiv (Ziff. 10 und Ziff. 11) wird bestätigt.</w:t>
      </w:r>
    </w:p>
    <w:p>
      <w:r>
        <w:t>- 26 - 7. Die zweitinstanzliche Gerichtsgebühr wird festgesetzt auf: Fr. 2'800.-- ; die weiteren Kosten betragen: Fr. amtliche Verteidigung 8. Die Kosten des Berufungsverfahrens werden dem Beschuldigten auferlegt. Die Kosten der amtlichen Verteidigung werden auf die Gerichtskasse genommen. Die Rückzahlungspflicht gemäss Art. 135 Abs. 4 StPO bleibt vorbehalten. 9. Mündliche Eröffnung und schriftliche Mitteilung im Dispositiv an − die amtliche Verteidigung im Doppel für sich und zuhanden des Beschuldigten(übergeben) − die Staatsanwaltschaft See/Oberland (versandt) − die Privatklägerin D._____ AG (Eine begründete Urteilsausfertigung – und nur hinsichtlich ihrer eigenen Anträge (Art. 84 Abs. 4 StPO) – wird der Privatklägerin nur zugestellt, sofern sie dies innert 10 Tagen nach Erhalt des Dispositivs verlangt.) sowie in vollständiger Ausfertigung an − die amtliche Verteidigung im Doppel für sich und zuhanden des Beschuldigten − die Staatsanwaltschaft See/Oberland und nach unbenütztem Ablauf der Rechtsmittelfrist bzw. Erledigung allfälliger Rechtsmittel an − die Vorinstanz − das Migrationsamt des Kantons Zürich − die Koordinationsstelle VOSTRA mit Formular A und B − die KOST Zürich mittels Formular „Löschung des DNA-Profils und Vernichtung des ED-Materials“ zwecks Löschung des DNA-Profils − das Amt für Justizvollzug des Kantons Zürich, Bewährungs- und Vollzugsdienste, Lernprogramme, … Zürich 10. Gegen diesen Entscheid kann bundesrechtliche Beschwerde in Strafsachen erhoben werden.</w:t>
      </w:r>
    </w:p>
    <w:p>
      <w:r>
        <w:t>- 27 -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__________________________________ OBERGERICHT DES KANTONS ZÜRICH I. Strafkammer Der Vorsitzende: Die Gerichtsschreiberin: Oberrichter Dr. iur. F. Bollinger lic. iur. C. Grieder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