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SB120195 vom 29. August 2012</w:t>
      </w:r>
    </w:p>
    <w:p>
      <w:r>
        <w:t>ZH Obergericht, 2012-08-29, DE</w:t>
      </w:r>
    </w:p>
    <w:p>
      <w:r>
        <w:rPr>
          <w:b/>
        </w:rPr>
        <w:t xml:space="preserve">Quelle: </w:t>
      </w:r>
      <w:r>
        <w:t>https://mcp.opencaselaw.ch/entscheid/zh_obergericht_SB120195</w:t>
      </w:r>
    </w:p>
    <w:p>
      <w:r>
        <w:t>FR: ZH_OBERGERICHT SB120195 du 29 août 2012</w:t>
      </w:r>
    </w:p>
    <w:p>
      <w:r>
        <w:t>IT: ZH_OBERGERICHT SB120195 del 29 agosto 2012</w:t>
      </w:r>
    </w:p>
    <w:p>
      <w:pPr>
        <w:pStyle w:val="Heading2"/>
      </w:pPr>
      <w:r>
        <w:t>Erwägungen</w:t>
      </w:r>
    </w:p>
    <w:p>
      <w:r>
        <w:rPr>
          <w:b/>
        </w:rPr>
        <w:t>E. 4</w:t>
      </w:r>
    </w:p>
    <w:p>
      <w:r>
        <w:t>Von der Festsetzung einer Ersatzforderung wird abgesehen.</w:t>
      </w:r>
    </w:p>
    <w:p>
      <w:r>
        <w:rPr>
          <w:b/>
        </w:rPr>
        <w:t>E. 5</w:t>
      </w:r>
    </w:p>
    <w:p>
      <w:r>
        <w:t>Die Entscheidgebühr wird festgesetzt auf: Fr. 3'600.– ; die weiteren Auslagen betragen: Fr. 2'500.– Gebühr Anklagebehörde Fr. 88'417.– Kosten Kantonspolizei Fr. 28'910.– Kosten amtliche Verteidigung Fr. 7'230.– Auslagen Untersuchung Allfällige weitere Auslagen bleiben vorbehalten.</w:t>
      </w:r>
    </w:p>
    <w:p>
      <w:r>
        <w:rPr>
          <w:b/>
        </w:rPr>
        <w:t>E. 6</w:t>
      </w:r>
    </w:p>
    <w:p>
      <w:r>
        <w:t>Die Kosten der Untersuchung und des gerichtlichen Verfahrens werden der Beschul- digten auferlegt. Die Kosten der amtlichen Verteidigung werden der Beschuldigten auferlegt, aber einstweilen auf die Gerichtskasse genommen; vorbehalten bleibt eine Nachforderung gemäss Art. 135 Abs. 4 StPO.</w:t>
      </w:r>
    </w:p>
    <w:p>
      <w:r>
        <w:rPr>
          <w:b/>
        </w:rPr>
        <w:t>E. 7</w:t>
      </w:r>
    </w:p>
    <w:p>
      <w:r>
        <w:t>(Mitteilung)</w:t>
      </w:r>
    </w:p>
    <w:p>
      <w:r>
        <w:rPr>
          <w:b/>
        </w:rPr>
        <w:t>E. 8</w:t>
      </w:r>
    </w:p>
    <w:p>
      <w:r>
        <w:t>(Rechtsmittel)" 2. Mündliche Eröffnung und schriftliche Mitteilung mit nachfolgendem Urteil.</w:t>
      </w:r>
    </w:p>
    <w:p>
      <w:r>
        <w:t>- 20 - Es wird erkannt: 1. Die Beschuldigte A._____ ist zudem schuldig des mehrfachen Verbrechens im Sinne von Art. 19 Ziff. 1 Abs. 3 bis 6 in Verbindung mit Art. 19 Ziff. 2 lit. a aBetmG und teilweise in Verbindung mit Art. 25 StGB. 2. Die Beschuldigte wird bestraft mit 4 Jahren und 3 Monaten Freiheitsstrafe, wovon 242 Tage durch Untersuchungshaft erstanden sind. 3. Die zweitinstanzliche Gerichtsgebühr wird festgesetzt auf: Fr. 2'500.– ; die weiteren Kosten betragen: Fr. 4'577.25 amtliche Verteidigung 4. Die Kosten des Berufungsverfahrens, mit Ausnahme der Kosten der amtlichen Verteidigung, werden der Beschuldigten auferlegt. Die Kosten der amtlichen Verteidigung werden einstweilen auf die Gerichtskasse ge- nommen. Die Rückzahlungspflicht bleibt gemäss Art. 135 Abs. 4 StPO vorbehalten. 5. Mündliche Eröffnung und schriftliche Mitteilung im Dispositiv an − die amtliche Verteidigung im Doppel für sich und zuhanden der Beschuldigten (übergeben) − die Staatsanwaltschaft II des Kantons Zürich sowie in vollständiger Ausfertigung an − die amtliche Verteidigung im Doppel für sich und zuhanden der Beschuldigten − die Staatsanwaltschaft II des Kantons Zürich − das Bundesamt für Polizei, MROS − das Bundesamt für Polizei, fedpol und nach unbenütztem Ablauf der Rechtsmittelfrist bzw. Erledigung allfälliger Rechtsmittel an − die Vorinstanz − den Justizvollzug des Kantons Zürich, Abteilung Bewährungs- und Vollzugsdienste</w:t>
      </w:r>
    </w:p>
    <w:p>
      <w:r>
        <w:t>- 21 - − das Migrationsamt des Kantons Zürich − die Koordinationsstelle VOSTRA mit Formular A − die KOST Zürich mit dem Formular "Löschung des DNA-Profils und Vernichtung des ED-Materials" zwecks Bestimmung der Vernichtungs- und Löschungsdaten. 6.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29. August 2012 Der Präsident: Die Gerichtsschreiberin: Oberrichter Dr. F. Bollinger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