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SB120150 vom 17. Oktober 2012</w:t>
      </w:r>
    </w:p>
    <w:p>
      <w:r>
        <w:t>ZH Obergericht, 2012-10-17, DE</w:t>
      </w:r>
    </w:p>
    <w:p>
      <w:r>
        <w:rPr>
          <w:b/>
        </w:rPr>
        <w:t xml:space="preserve">Quelle: </w:t>
      </w:r>
      <w:r>
        <w:t>https://mcp.opencaselaw.ch/entscheid/zh_obergericht_SB120150</w:t>
      </w:r>
    </w:p>
    <w:p>
      <w:r>
        <w:t>FR: ZH_OBERGERICHT SB120150 du 17 octobre 2012</w:t>
      </w:r>
    </w:p>
    <w:p>
      <w:r>
        <w:t>IT: ZH_OBERGERICHT SB120150 del 17 ottobre 2012</w:t>
      </w:r>
    </w:p>
    <w:p>
      <w:pPr>
        <w:pStyle w:val="Heading2"/>
      </w:pPr>
      <w:r>
        <w:t>Erwägungen</w:t>
      </w:r>
    </w:p>
    <w:p>
      <w:r>
        <w:rPr>
          <w:b/>
        </w:rPr>
        <w:t>E. 1</w:t>
      </w:r>
    </w:p>
    <w:p>
      <w:r>
        <w:t>Mit Urteil vom 9. Dezember 2011 sprach das Bezirksgericht Zürich den Be- schuldigten der einfachen Körperverletzung im Sinne von Art. 123 Ziff. 1 Abs. 1 StGB, der mehrfachen Nötigung im Sinne von Art. 181 StGB, der Drohung im Sinne von Art. 180 Abs. 1 StGB in Verbindung mit Abs. 2 lit. a StGB sowie der mehrfachen Tätlichkeiten im Sinne von Art. 126 Abs. 1 StGB in Verbindung mit Abs. 2 lit. b StGB schuldig. Vom Vorwurf der Drohung gemäss Anklageziffer HD 1 sowie der Tätlichkeit gemäss Anklageziffer HD 7 wurde der Beschuldigte freige- sprochen. Das Bezirksgericht Zürich verurteilte ihn zu einer Freiheitsstrafe von 13 Monaten unter Anrechnung von 423 Tagen Untersuchungshaft sowie einer Busse von Fr. 500.-- und ordnete den Vollzug der Strafe an. Zudem wurde ihm eine Ge- nugtuung von Fr. 2'640.-- für unrechtmässig erlittene Haft zugesprochen (Urk. 50 S. 37 f.).</w:t>
      </w:r>
    </w:p>
    <w:p>
      <w:r>
        <w:rPr>
          <w:b/>
        </w:rPr>
        <w:t>E. 2</w:t>
      </w:r>
    </w:p>
    <w:p>
      <w:r>
        <w:t>Gegen das Urteil, das ihr am 9. Dezember 2011 mündlich eröffnet wurde, liess die Staatsanwaltschaft gleichentags Berufung anmelden (Prot. I S. 18). Nach Er- halt des begründeten Urteils am 24. Februar 2012 (Urk. 48/1) folgte mit Eingabe vom 9. März 2012 ihre Berufungserklärung (Urk. 51). Die Privatklägerin liess mit Eingabe vom 14. Dezember 2011 ebenfalls Berufung erklären (Urk. 45), zog die- se aber am 17. Januar 2012 zurück (Urk. 46) und erhob auch keine Anschlussbe- rufung. Der Beschuldigte verzichtete auf Anschlussberufung und beantragte die Bestätigung des vorinstanzlichen Urteils (Urk. 56).</w:t>
      </w:r>
    </w:p>
    <w:p>
      <w:r>
        <w:rPr>
          <w:b/>
        </w:rPr>
        <w:t>E. 3</w:t>
      </w:r>
    </w:p>
    <w:p>
      <w:r>
        <w:t>Da der Beschuldigte unbekannten Aufenthalts ist, wurde mit Einverständnis der Parteien (Urk. 57) mit Verfügung vom 30. April 2012 das schriftliche Verfahren angeordnet. Gleichzeitig wurde der Staatsanwaltschaft Frist angesetzt, um ihre Berufungsanträge zu begründen (Urk. 58). Innert Frist reichte diese mit Eingabe vom 8. Mai 2012 ihre Berufungsbegründung ein und stellte die oben erwähnten Anträge (Urk. 60). Der Beschuldigte beantwortete diese am 13. Juni 2012 und stellte die eingangs erwähnten Anträge (Urk. 65). Die Privatklägerin verzichtete</w:t>
      </w:r>
    </w:p>
    <w:p>
      <w:r>
        <w:t>- 6 - auf eine Stellungnahme (Urk. 64). Beweisanträge wurden von keiner Seite gestellt (Urk. 60 und 65).</w:t>
      </w:r>
    </w:p>
    <w:p>
      <w:r>
        <w:rPr>
          <w:b/>
        </w:rPr>
        <w:t>E. 4</w:t>
      </w:r>
    </w:p>
    <w:p>
      <w:r>
        <w:t>Bezüglich der persönlichen Verhältnisse kann auf die Ausführungen der Vor- instanz verwiesen werden (Urk. 50 S. 31 f.). Hinzuzufügen ist, dass der Beschul- digte wie bereits erwähnt zurzeit unbekannten Aufenthaltes ist (Urk. 53). Leicht strafmindernd ist die schwere Jugend des Beschuldigten zu veranschlagen, der teilweise auf der Strasse in den … aufwuchs. Der Vorinstanz ist dahingehend bei- zupflichten, dass die Tatsache, dass der Beschuldigte einen elfjährigen Sohn in der Schweiz hat, keine besondere Strafempfindlichkeit begründet (Urk. 50 S. 32).</w:t>
      </w:r>
    </w:p>
    <w:p>
      <w:r>
        <w:rPr>
          <w:b/>
        </w:rPr>
        <w:t>E. 5</w:t>
      </w:r>
    </w:p>
    <w:p>
      <w:r>
        <w:t>Der Beschuldigte weist vier teilweise einschlägige Vorstrafen auf (Urk. HD 10/1). Letztmals vor den zu beurteilenden Taten wurde er am 3. Oktober 2007 wegen Gefährdung des Lebens, Nötigung, Drohung und einfacher Körperverlet- zung sowie Tätlichkeiten zu einer Freiheitsstrafe von 28 Monaten verurteilt, die er zu 2/3 verbüsste. Dies ist stark straferhöhend zu berücksichtigen. Gegen ihn spricht auch, dass er während laufender Strafuntersuchung delinquierte. Zudem zeigte er sich uneinsichtig. Sein teilweises Geständnis bezüglich der Faustschlä- ge gegen den Privatkläger, das ohnehin nur gering strafmindernd zu berücksichti- gen ist, da aufgrund der Beweislage ein Bestreiten aussichtslos war, wurde von der Bemerkung begleitet, er bereue dies nicht, er hätte ihm noch mehr Schaden zufügen können, das nenne er Hausfriedensbruch (Urk. HD 3/3 S. 4). Der Vo- rinstanz ist ferner unter Hinweis auf ihre zutreffenden Erwägungen (Urk. 50 S. 32 f.) darin zuzustimmen, dass das Beschleunigungsgebot nicht verletzt wurde, wenn</w:t>
      </w:r>
    </w:p>
    <w:p>
      <w:r>
        <w:t>- 12 - sie auch die Normalfrist von Art. 84 Abs. 4 StPO für die Zustellung des begründe- ten Urteils leicht überschritten hatte.</w:t>
      </w:r>
    </w:p>
    <w:p>
      <w:r>
        <w:rPr>
          <w:b/>
        </w:rPr>
        <w:t>E. 6</w:t>
      </w:r>
    </w:p>
    <w:p>
      <w:r>
        <w:t>Zusammengefasst erweist sich für die zu sanktionierenden Delikte eine Frei- heitsstrafe von 18 Monaten und eine Busse von Fr. 500.-- als angemessen. An die Strafe sind insgesamt 423 Tage Untersuchungshaft anzurechnen. Für den Fall, dass der Beschuldigte die Busse nicht bezahlt, ist eine Ersatzfreiheitsstrafe von 5 Tagen festzulegen.</w:t>
      </w:r>
    </w:p>
    <w:p>
      <w:r>
        <w:rPr>
          <w:b/>
        </w:rPr>
        <w:t>E. 7</w:t>
      </w:r>
    </w:p>
    <w:p>
      <w:r>
        <w:t>Das Gericht schiebt den Vollzug einer Strafe in der Regel auf, wenn eine unbe- dingte Strafe nicht als notwendig erscheint, um den Täter von der Begehung wei- terer Verbrechen oder Vergehen abzuhalten (Art. 42 Abs. 1 StGB). Der Beschuldigte wurde am 3. Oktober 2007 zu einer Freiheitsstrafe von 28 Mo- naten verurteilt. Für einen Strafaufschub sind daher besonders günstige Umstän- de notwendig (Art. 42 Abs. 2 StGB). Solche sind im vorliegenden Fall nicht vor- handen. Der Beschuldigte weist vier teilweise einschlägige Vorstrafen auf. Davon wurden drei zunächst bedingt ausgefällt, mussten aber allesamt widerrufen wer- den. Obwohl der Beschuldigte bereits eine Freiheitsstrafe von 28 Monaten ver- büssen musste, liess er sich nicht von weiterer Delinquenz abhalten und delin- quierte zudem noch während eines laufenden Strafverfahrens kurz nach seiner Entlassung aus der Untersuchungshaft, wobei er sich uneinsichtig zeigte. Es ist daher ernsthaft zu erwarten, dass er erneut delinquieren werde. Die auszufällen- de Freiheitsstrafe ist demnach zu vollziehen. IV.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