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SB120048 vom 11. September 2012</w:t>
      </w:r>
    </w:p>
    <w:p>
      <w:r>
        <w:t>ZH Obergericht, 2012-09-11, DE</w:t>
      </w:r>
    </w:p>
    <w:p>
      <w:r>
        <w:rPr>
          <w:b/>
        </w:rPr>
        <w:t xml:space="preserve">Quelle: </w:t>
      </w:r>
      <w:r>
        <w:t>https://mcp.opencaselaw.ch/entscheid/zh_obergericht_SB120048</w:t>
      </w:r>
    </w:p>
    <w:p>
      <w:r>
        <w:t>FR: ZH_OBERGERICHT SB120048 du 11 septembre 2012</w:t>
      </w:r>
    </w:p>
    <w:p>
      <w:r>
        <w:t>IT: ZH_OBERGERICHT SB120048 del 11 settembre 2012</w:t>
      </w:r>
    </w:p>
    <w:p>
      <w:pPr>
        <w:pStyle w:val="Heading2"/>
      </w:pPr>
      <w:r>
        <w:t>Erwägungen</w:t>
      </w:r>
    </w:p>
    <w:p>
      <w:r>
        <w:rPr>
          <w:b/>
        </w:rPr>
        <w:t>E. 3</w:t>
      </w:r>
    </w:p>
    <w:p>
      <w:r>
        <w:t>Rechtliche Würdigung Die Vorinstanz hat das noch zur Qualifizierung verbleibende Verhalten des Be- schuldigten mit einlässlicher Begründung als sexuelle Nötigung im Sinne von Art. 189 Abs. 1 StGB, als vollendete und versuchte Nötigung im Sinne von Art. 181 StGB (in Verbindung mit Art. 22 Abs. 1 StGB), als einfache Körperverlet- zung im Sinne von Art. 123 Ziff. 1 Abs. 1 StGB (HD) sowie als Vergewaltigung im Sinne von Art. 190 Abs. 1 StGB (ND 1) beurteilt (Urk. 80 S. 80 ff.).</w:t>
      </w:r>
    </w:p>
    <w:p>
      <w:r>
        <w:t>- 15 - Hinsichtlich der Tatvorwürfe der (sexuellen und einfachen) Nötigung und der Ver- gewaltigung kritisierte der Beschuldigte vor Vorinstanz, dass die in der Anklage- schrift umschriebenen Vorgänge eine Subsumtion unter die angerufenen Straftat- bestände nicht zuliessen (Urk. 63 S. 3 f. und S. 10 f.). Vor Obergericht wurde die rechtliche Würdigung seitens des neuen Verteidigers allerdings zu Recht nicht mehr beanstandet (vgl. Prot. II S. 9 ff.). So ist mit der Vorinstanz festzuhalten, dass der in der Anklageschrift klar um- schriebene und sachverhaltsmässig erstellte Griff in den Schritt der Geschädigten B._____ samt mehrmaligem, kräftigem Drücken des Genitalbereichs während ca. 20 bis 30 Sekunden sehr wohl als sexuelle Handlung im Sinne von Art. 189 Abs. 1 StGB zu qualifizieren ist. Ebenso erfüllt das zeitweilige Einsperren der Geschä- digten B._____ offensichtlich den Tatbestand der Nötigung. Dass die Vorinstanz sodann auch den Tatbestand einer versuchten Nötigung als erfüllt ansah, indem der Beschuldigte versucht habe, die Geschädigte B._____ mit der sinngemässen Androhung einer Vergewaltigung sowie mit seinen aggressiven und gewalttätigen Attacken dazu zu bringen, Obszönitäten auszusprechen, was sie jedoch nicht ge- tan habe, gibt ebenfalls zu keinen Beanstandungen Anlass. In beiden Fällen war zumindest das vom Täter verwendete Mittel unerlaubt, womit die Rechtswidrigkeit offensichtlich gegeben ist. Dass die Anklagebehörde in diesem Zusammenhang einzig eine vollendete Nötigung als erfüllt ansah, ändert daran nichts, ist es doch Sache des Gerichts, den eingeklagten und erwiesenen Sachverhalt rechtlich zu würdigen (Art. 350 Abs. 1 StPO). Was den Tatvorwurf der Vergewaltigung angeht, so befremdet der erstinstanzli- che Vorwurf des Beschuldigten, die Anklageschrift behaupte keine Nötigungs- handlung bzw. keine Kausalität zwischen einer solchen und dem Beischlaf (Urk. 63 S. 10). Wie schon die Vorinstanz zu Recht festgehalten hat, setzt der Tatbe- stand der Vergewaltigung voraus, dass eine weibliche Person zur Duldung des Beischlafs genötigt wird, was namentlich durch Drohung (auch implizite), Gewalt oder psychischen Druck geschehen kann (Art. 190 Abs. 1 StGB). Genau Solches ist in der Anklageschrift umschrieben und beweismässig erstellt. Nicht nur de- monstrierte der Beschuldigte der Geschädigten C._____ seine massive körperli-</w:t>
      </w:r>
    </w:p>
    <w:p>
      <w:r>
        <w:t>- 16 - che Überlegenheit, indem er ihr Hose und Unterhose herunterzog und sie aufs Bett drückte, er überging auch ihren verbal wiederholt (auch nach Aushändigung des Kondoms) geäusserten Widerstand, indem er gleichwohl in die Geschädigte eindrang und den Geschlechtsverkehr bis zum Erguss vollzog. Unter diesen Um- ständen (deutliche verbale und nonverbale Äusserung von Ablehnung, Wegstoss- versuche) musste dem Beschuldigten klar sein, dass die Geschädigte mit dem Geschlechtsverkehr nicht einverstanden war. Entsprechend ist die Verurteilung wegen Vergewaltigung im Sinne von Art. 190 Abs. 1 StGB zu schützen. Die rechtliche Würdigung der weiteren Tatvorwürfe wurde nicht gerügt und gibt auch zu keinen Beanstandungen Anlass. Damit kann der rechtlichen Würdigung und dem Schuldspruch der Vorinstanz – mit Ausnahme des Vorwurfs des gering- fügigen Diebstahls im Sinne von Art. 139 Ziff. 1 StGB in Verbindung mit Art. 172ter Abs. 1 StGB – gefolgt werden.</w:t>
      </w:r>
    </w:p>
    <w:p>
      <w:r>
        <w:rPr>
          <w:b/>
        </w:rPr>
        <w:t>E. 4</w:t>
      </w:r>
    </w:p>
    <w:p>
      <w:r>
        <w:t>Rückversetzung</w:t>
      </w:r>
    </w:p>
    <w:p>
      <w:r>
        <w:rPr>
          <w:b/>
        </w:rPr>
        <w:t>E. 4.1</w:t>
      </w:r>
    </w:p>
    <w:p>
      <w:r>
        <w:t>Das für die Beurteilung der neuen Tat zuständige Gericht ordnet die Rück- versetzung in den Strafvollzug an, wenn der bedingt Entlassene während der Probezeit ein Vergehen oder Verbrechen begeht (Art. 89 Abs. 1 StGB). Es ver- zichtet auf die Rückversetzung nur dann, wenn zu erwarten ist, der Verurteilte werde keine weiteren Straftaten begehen (Art. 89 Abs. 2 StGB). Für den Fall, dass die zu widerrufende Reststrafe mit einer unbedingt zu vollziehenden neuen Strafe zusammen fällt, ist unter Anwendung von Art. 49 StGB eine Gesamtstrafe zu bilden (Art. 89 Abs. 6 StGB).</w:t>
      </w:r>
    </w:p>
    <w:p>
      <w:r>
        <w:rPr>
          <w:b/>
        </w:rPr>
        <w:t>E. 4.2</w:t>
      </w:r>
    </w:p>
    <w:p>
      <w:r>
        <w:t>Der Beschuldigte befand sich seit 13. Januar 2009 wegen diverser Verurtei- lungen im Strafvollzug, woraus er mit Verfügung des Justizvollzugs des Kantons Zürich vom 23. März 2009 am 3. April 2009 bedingt entlassen wurde. Die Probe- zeit für die Reststrafe von 56 Tagen wurde auf ein Jahr bzw. bis 2. April 2010 festgelegt (Urk. HD 23/5/10) und bereits am 25. August 2009 durch die Staatsan- waltschaft Zürich-Sihl um sechs Monate verlängert (Urk. 83 S. 3). Da der Be- schuldigte die heute zu beurteilenden Delikte noch während der laufenden Probe- zeit beging, kommt eine Rückversetzung grundsätzlich in Frage.</w:t>
      </w:r>
    </w:p>
    <w:p>
      <w:r>
        <w:t>- 17 - Die Anforderungen an eine günstige Prognose im Sinne von Art. 89 Abs. 1 StGB sind zwar strenger als bei der Gewährung des bedingten Strafvollzuges eines Ersttäters, dagegen grosszügiger als beim Wiederholungstäter nach Art. 42 Abs. 2 StGB (SCHWARZENEGGER/HUG/JOSITSCH, Strafrecht II, Strafen und Mass- nahmen, 8. Aufl., Zürich 2007, S. 222). Gleichwohl steht vorliegend aufgrund der deliktischen Vorgeschichte des Beschuldigten (vgl. den Strafregisterauszug vom 2. Februar 2012: 7 Verurteilungen seit 2003, in der Regel wegen Betäubungsmit- teldelikten, teilweise unbedingt verbüsst) und der Tatsache, dass er während der laufenden Probezeit nicht nur einmal, sondern mehrfach (mithin auch während der für das erste Delikt neu angehobenen Untersuchung, in deren Rahmen er be- reits im Januar und Februar 2010 mehrfach einvernommen worden war) – und massiv – delinquiert hat, das Vorliegen einer günstigen Prognose ausser Frage. Der Beschuldigte ist deshalb in den Strafvollzug zurückzuversetzen, und die Reststrafe von 56 Tagen ist zu vollziehen. Der Vollzug dieser Reststrafe ist indes gemäss Art. 89 StGB in Anwendung des Asperationsprinzips mit der neu auszu- fällenden Strafe in einer Gesamtstrafe zusammenzufassen, was nachfolgend bei der Strafzumessung zu berücksichtigen ist (vgl. BGE 135 IV 146).</w:t>
      </w:r>
    </w:p>
    <w:p>
      <w:r>
        <w:rPr>
          <w:b/>
        </w:rPr>
        <w:t>E. 5</w:t>
      </w:r>
    </w:p>
    <w:p>
      <w:r>
        <w:t>Strafzumessung</w:t>
      </w:r>
    </w:p>
    <w:p>
      <w:r>
        <w:rPr>
          <w:b/>
        </w:rPr>
        <w:t>E. 5.1</w:t>
      </w:r>
    </w:p>
    <w:p>
      <w:r>
        <w:t>Die Vorinstanz hat den Beschuldigten mit einer Freiheitsstrafe von 3 ½ Jah- ren und einer Busse von Fr. 900.– als Gesamtstrafe bestraft (Urk. 80 Dispositivzif- fer 3).</w:t>
      </w:r>
    </w:p>
    <w:p>
      <w:r>
        <w:rPr>
          <w:b/>
        </w:rPr>
        <w:t>E. 5.2</w:t>
      </w:r>
    </w:p>
    <w:p>
      <w:r>
        <w:t>Anlässlich der heutigen Berufungsverhandlung liess der Beschuldigte aus- führen, er sei mit einer Gesamtstrafe von 2 ¼ Jahren Freiheitsstrafe und einer Busse von Fr. 300.– zu bestrafen. Die Vorinstanz habe seine angebliche kriminel- le Energie viel zu hoch eingestuft und sei entsprechend von einem viel zu schwe- ren Verschulden ausgegangen. Zudem seien die falschen Signale, welche von den Geschädigten gesendet worden seien, strafmindernd und das Geständnis im Betäubungsmittelbereich leicht strafmindernd zu berücksichtigen. Weiter sei eine in leichtem Grad verminderte Schuldfähigkeit im Betäubungsmittelbereich zu be- rücksichtigen (Prot. II S. 7 und 17).</w:t>
      </w:r>
    </w:p>
    <w:p>
      <w:r>
        <w:t>- 18 -</w:t>
      </w:r>
    </w:p>
    <w:p>
      <w:r>
        <w:rPr>
          <w:b/>
        </w:rPr>
        <w:t>E. 5.3</w:t>
      </w:r>
    </w:p>
    <w:p>
      <w:r>
        <w:t>Die Vorinstanz hat – unter Hinweis auf die einschlägige Rechtsprechung des Bundesgerichts – die allgemeinen Grundsätze der Strafzumessung korrekt darge- stellt und auf den vorliegenden Fall angewandt. Ihre Ausführungen zu den Tat- komponenten der einzelnen Delikte und auch zu den Täterkomponenten sind um- fassend (Urk. 80 S. 84 ff.; Art. 82 Abs. 4 StPO). Korrekterweise ging sie bei ihren Ausführungen von der Vergewaltigung als schwerstem Delikt aus, wobei sie das Verschulden des Beschuldigten zutreffend als nicht mehr leicht bezeichnete und so dem konkreten Vorgehen des Beschuldigten wie auch seiner Motivlage hinrei- chend Rechnung trug. Auch die auf zwei Jahre festgelegte (hypothetische) Ein- satzstrafe ist nicht zu beanstanden (Urk. 80 S. 86). Die weiteren, im Verschulden variierenden Taten führten zu einer Erhöhung der Einsatzstrafe um die Hälfte, was ebenfalls zu keiner Kritik Anlass gibt (Urk. 80 S. 86 f.). Auf Seiten der Täter- komponenten sind die vielen Vorstrafen des Beschuldigten (einschlägig hinsicht- lich der bereits abgeurteilten Betäubungsmitteldelikte, nicht einschlägig, was Se- xualdelikte angeht, vgl. Urk. 13) hervorzuheben. Stark erhöhend fällt sodann ins Gewicht, dass der Beschuldigte nicht nur während laufender Probezeit hinsichtlich der bedingten Entlassung aus dem Strafvollzug, sondern überdies während lau- fender Untersuchung und auf der Flucht aus dem Strafvollzug erneut straffällig wurde. Diesbezüglich ist sodann darauf hinzuweisen, dass hinsichtlich der Sexu- aldelikte eine Eskalation des Vorgehens vorliegt, welchem Umstand allerdings be- reits im Rahmen der Tatkomponenten Rechnung getragen wurde. Dass sich das Geständnis des Beschuldigten hinsichtlich der Betäubungsmitteldelikte insgesamt nur in sehr leichtem Masse strafmindernd auswirkt, hat die Vorinstanz richtig ge- sehen. Insgesamt ist die Einsatzstrafe aufgrund der Täterkomponenten merklich zu erhöhen. Vor diesem Hintergrund erscheint die ausgesprochene Freiheitsstrafe jedenfalls als angemessen, wobei dem Beschuldigten 738 Tage, die er bis zum heutigen Urteil in Polizeiverhaft, Untersuchungs- und Sicherheitshaft sowie im vorzeitigen Strafvollzug erstanden hat, an die Strafe anzurechnen sind. Indessen ist die Busse infolge des Freispruchs vom Vorwurf des geringfügigen Diebstahls auf Fr. 300.– für die mehrfachen Übertretungen des Betäubungsmittelgesetzes zu reduzieren. Die Ersatzfreiheitsstrafe bei schuldhafter Nichtbezahlung der Busse ist auf 3 Tage festzulegen.</w:t>
      </w:r>
    </w:p>
    <w:p>
      <w:r>
        <w:t>- 19 -</w:t>
      </w:r>
    </w:p>
    <w:p>
      <w:r>
        <w:rPr>
          <w:b/>
        </w:rPr>
        <w:t>E. 6</w:t>
      </w:r>
    </w:p>
    <w:p>
      <w:r>
        <w:t>Vollzug Angesichts der Höhe der heute auszufällenden Strafe fällt ein Aufschub des Voll- zugs der Freiheitsstrafe ausser Betracht (Art. 42 und 43 StGB). Auch die Busse ist zu bezahlen.</w:t>
      </w:r>
    </w:p>
    <w:p>
      <w:r>
        <w:rPr>
          <w:b/>
        </w:rPr>
        <w:t>E. 7</w:t>
      </w:r>
    </w:p>
    <w:p>
      <w:r>
        <w:t>Zivilansprüche</w:t>
      </w:r>
    </w:p>
    <w:p>
      <w:r>
        <w:rPr>
          <w:b/>
        </w:rPr>
        <w:t>E. 7.1</w:t>
      </w:r>
    </w:p>
    <w:p>
      <w:r>
        <w:t>Nachdem der Beschuldigte – mit Ausnahme des Diebstahlvorwurfs – sämtli- cher ihm vorgeworfenen Delikte schuldig zu sprechen ist, ist auch auf die geltend gemachten Zivilansprüche einzutreten (Art. 126 Abs. 1 lit. a StPO).</w:t>
      </w:r>
    </w:p>
    <w:p>
      <w:r>
        <w:rPr>
          <w:b/>
        </w:rPr>
        <w:t>E. 7.2</w:t>
      </w:r>
    </w:p>
    <w:p>
      <w:r>
        <w:t>Beide Privatklägerinnen beantragen nebst der Zusprechung von Genugtu- ungsleistungen, dass hinsichtlich der Leistung von Schadenersatz ein Entscheid dem Grundsatze nach zu fällen und im Übrigen vorzumerken sei, dass sich die Privatklägerinnen die spätere Geltendmachung von Schadenersatzansprüchen vorbehalten (Urk. 61 S. 2 und Urk. 62 S. 1). Dieses Vorgehen ist ohne Weiteres zulässig (BSK StPO-Dolge, N 44 zu Art. 126).</w:t>
      </w:r>
    </w:p>
    <w:p>
      <w:r>
        <w:rPr>
          <w:b/>
        </w:rPr>
        <w:t>E. 7.3</w:t>
      </w:r>
    </w:p>
    <w:p>
      <w:r>
        <w:t>Die Vorinstanz hat hierzu zusammengefasst festgehalten, beide Privatkläge- rinnen seien durch den Beschuldigten durch die im jeweiligen Zusammenhang zu beurteilenden Delikte in ihrer psychischen und physischen Integrität unmittelbar und in schwerer Weise beeinträchtigt worden. Da eine Bezifferung des dadurch entstandenen Schadens heute noch nicht möglich sei, sei der Beschuldigte ge- genüber der Privatklägerin B._____ aus dem Vorfall vom 5./6. Januar 2010 und gegenüber der Privatklägerin C._____ aus dem Vorfall vom 22. März 2010 grund- sätzlich schadenersatzpflichtig zu erklären und es sei vorzumerken, dass die spä- tere Geltendmachung von Schadenersatz vorbehalten bleibe (Urk. 80 S. 91 ff.). Weiter führte die Vorinstanz mit überzeugender Begründung, auf welche verwie- sen werden kann (Art. 82 Abs. 4 StPO), aus, der Beschuldigte sei zu verpflichten, der Privatklägerin B._____ eine Genugtuung von Fr. 8'000.– zuzüglich 5 % Zins seit dem 6. Januar 2010 und der Privatklägerin C._____ eine Genugtuung von Fr. 15'000.– zuzüglich 5 % Zins seit 22. März 2010 zu bezahlen (Urk. 80 S. 93 ff.).</w:t>
      </w:r>
    </w:p>
    <w:p>
      <w:r>
        <w:t>- 20 -</w:t>
      </w:r>
    </w:p>
    <w:p>
      <w:r>
        <w:rPr>
          <w:b/>
        </w:rPr>
        <w:t>E. 7.4</w:t>
      </w:r>
    </w:p>
    <w:p>
      <w:r>
        <w:t>Vor Vorinstanz hat sich der Beschuldigte zu den geltend gemachten Zivilfor- derungen materiell nicht geäussert (Urk. 63 S. 29). Anlässlich der Berufungsver- handlung führte der Verteidiger im Eventualantrag aus, die Genugtuungsansprü- che der Geschädigten B._____ seien auf Fr. 4'000.– und diejenigen der Geschä- digten C._____ auf Fr. 7'500.– festzulegen (Prot. II S. 7). Grund dafür sei das tie- fer anzusetzende Verschulden des Beschuldigten, sofern überhaupt von einer Tatbegehung ausgegangen werden könne (Prot. II S. 17). Die Vorinstanz hat sich eingehend mit der Frage des Verschuldens des Beschul- digten sowie mit den Genugtuungsansprüchen der Geschädigten B._____ und C._____ auseinandergesetzt und gelangte zum Schluss, dass eine Genugtuung in der Höhe von Fr. 8'000.– (B._____) bzw. Fr. 15'000.– (C._____) in Anbetracht der Intensität der erlittenen Unbill und des Verschuldens des Beschuldigten an- gemessen sei. Dem ist nichts anzufügen. Insbesondere ist – entgegen der An- sicht der Verteidigung – das Verschulden des Beschuldigten heute nicht als weni- ger schwerwiegend zu qualifizieren, als dies die Vorinstanz getan hat. Damit bleibt es beim angefochtenen Entscheid.</w:t>
      </w:r>
    </w:p>
    <w:p>
      <w:r>
        <w:rPr>
          <w:b/>
        </w:rPr>
        <w:t>E. 8</w:t>
      </w:r>
    </w:p>
    <w:p>
      <w:r>
        <w:t>Einziehungen Hinsichtlich der beschlagnahmten Gegenstände ist antragsgemäss zu verfahren (vgl. hierzu auch Urk. 81 S. 95 f.).</w:t>
      </w:r>
    </w:p>
    <w:p>
      <w:r>
        <w:rPr>
          <w:b/>
        </w:rPr>
        <w:t>E. 9</w:t>
      </w:r>
    </w:p>
    <w:p>
      <w:r>
        <w:t>Kosten- und Entschädigungsfolgen</w:t>
      </w:r>
    </w:p>
    <w:p>
      <w:r>
        <w:rPr>
          <w:b/>
        </w:rPr>
        <w:t>E. 9.1</w:t>
      </w:r>
    </w:p>
    <w:p>
      <w:r>
        <w:t>Da keine Einwendungen gegen die vorinstanzliche Kostenfestsetzung vor- liegen, ist diese zu bestätigen. Ausgangsgemäss sind dem Beschuldigten die Kosten der Untersuchung und der gerichtlichen Verfahren beider Instanzen auf- zuerlegen. Davon ausgenommen sind die Kosten der amtlichen Verteidigung des Beschuldigten. Diese sind einstweilen auf die Gerichtskasse zu nehmen. Die Rückzahlungspflicht gemäss Art. 135 Abs. 4 StPO bleibt vorbehalten. Die Kosten der unentgeltlichen Vertretung der Privatklägerschaft sind aufgrund der schlech- ten finanziellen Verhältnisse des Beschuldigten auf die Gerichtskasse zu nehmen (Art. 426 Abs. 4 StPO).</w:t>
      </w:r>
    </w:p>
    <w:p>
      <w:r>
        <w:t>- 21 -</w:t>
      </w:r>
    </w:p>
    <w:p>
      <w:r>
        <w:rPr>
          <w:b/>
        </w:rPr>
        <w:t>E. 9.2</w:t>
      </w:r>
    </w:p>
    <w:p>
      <w:r>
        <w:t>Wie die Vorinstanz sodann zu Recht festgestellt hat, war der Beschuldigte vom 20. Juli 2011 bis 4. August 2011 inhaftiert, ohne dass dies durch eine ent- sprechende Verfügung des Zwangsmassnahmengerichts angeordnet worden wä- re. Konkret hätte, einem kurz zuvor ergangenen Bundesgerichtsentscheid ent- sprechend, spätestens bis am 20. Juli 2011 durch das Zwangsmassnahmenge- richt die Verlängerung der bereits mit Entscheid vom 20. April 2011, damals pra- xisgemäss noch unbefristet angeordneten Sicherheitshaft ausgesprochen werden müssen (vgl. BGer 1B_222/2011=BGE 137 IV 180=Pra 2012 Nr. 12; BGer 1B_386/2011).</w:t>
      </w:r>
    </w:p>
    <w:p>
      <w:r>
        <w:rPr>
          <w:b/>
        </w:rPr>
        <w:t>E. 9.2.1</w:t>
      </w:r>
    </w:p>
    <w:p>
      <w:r>
        <w:t>Die Vorinstanz liess es als Genugtuung bei der expliziten Feststellung, dass der Beschuldigte in der besagten Zeitperiode nicht gemäss den Bestimmungen der Strafprozessordnung in Haft gehalten worden sei, bewenden (Urk. 80 S. 14 f. und Dispositivziffer 13). Der Beschuldigte beantragt im Berufungsverfahren – wie schon vor dem Bezirksgericht – ihm sei für die erlittene ungesetzliche Haft von 15 Tagen eine Genugtuung von Fr. 400.– pro Tag zuzusprechen (Urk. 81). Vor Vorinstanz führte er als Begründung an, die Verweigerung der gesetzmässigen Überprüfung einer Freiheitsentziehung stelle eine besonders schwerwiegende Verletzung der Persönlichkeit dar, weshalb der übliche Ansatz für eine Genugtu- ung bei Überhaft zu verdoppeln sei (Urk. 63 S. 32). Anlässlich der Berufungsver- handlung führte der Verteidiger lediglich weiter aus, dass der Antrag auf Genug- tuung für die Tage der Überhaft den üblichen Regeln entspreche (Prot. II S. 16).</w:t>
      </w:r>
    </w:p>
    <w:p>
      <w:r>
        <w:rPr>
          <w:b/>
        </w:rPr>
        <w:t>E. 9.2.2</w:t>
      </w:r>
    </w:p>
    <w:p>
      <w:r>
        <w:t>Sind gegenüber einer beschuldigten Person rechtswidrig Zwangsmass- nahmen angewandt worden, so spricht ihr die Strafbehörde eine angemessene Entschädigung und Genugtuung zu (Art. 431 Abs. 1 StPO). Der Entschädigungs- anspruch besteht unabhängig von der Auferlegung der Verfahrenskosten. Die Höhe der auszurichtenden Entschädigung richtet sich nach den allgemeinen zivil- rechtlichen Grundsätzen gemäss Art. 41 ff. OR. Art. 49 OR bestimmt, dass, wer in seiner Persönlichkeit widerrechtlich verletzt wird, Anspruch auf Leistung einer Geldsumme als Genugtuung hat, sofern die Schwere der Verletzung es rechtfer- tigt und diese nicht anders wieder gut gemacht worden ist. Bei Vorliegen einer ungesetzlichen Haft wird die besonders schwere Verletzung der persönlichen</w:t>
      </w:r>
    </w:p>
    <w:p>
      <w:r>
        <w:t>- 22 - Verhältnisse vermutet. Vorliegend beruhte die Inhaftierung des Beschuldigten während 15 Tagen nicht auf einer gesetzeskonformen Grundlage, was gegenüber dem Tatbestand der zwar gesetzmässigen aber ungerechtfertigten Überhaft als schwererer Eingriff in die Persönlichkeit erscheint. Darüber hinaus werden keine, die Genugtuung erhöhende besondere Umstände geltend gemacht. Bei dieser Sachlage erscheint die Zusprechung einer Genugtuung von pauschal Fr. 3'500.– als angemessen, während das Begehren im Mehrbetrag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