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SB110751 vom 2. März 2012</w:t>
      </w:r>
    </w:p>
    <w:p>
      <w:r>
        <w:t>ZH Obergericht, 2012-03-02, DE</w:t>
      </w:r>
    </w:p>
    <w:p>
      <w:r>
        <w:rPr>
          <w:b/>
        </w:rPr>
        <w:t xml:space="preserve">Quelle: </w:t>
      </w:r>
      <w:r>
        <w:t>https://mcp.opencaselaw.ch/entscheid/zh_obergericht_SB110751</w:t>
      </w:r>
    </w:p>
    <w:p>
      <w:r>
        <w:t>FR: ZH_OBERGERICHT SB110751 du 2 mars 2012</w:t>
      </w:r>
    </w:p>
    <w:p>
      <w:r>
        <w:t>IT: ZH_OBERGERICHT SB110751 del 2 marzo 2012</w:t>
      </w:r>
    </w:p>
    <w:p>
      <w:pPr>
        <w:pStyle w:val="Heading2"/>
      </w:pPr>
      <w:r>
        <w:t>Erwägungen</w:t>
      </w:r>
    </w:p>
    <w:p>
      <w:r>
        <w:rPr>
          <w:b/>
        </w:rPr>
        <w:t>E. 1</w:t>
      </w:r>
    </w:p>
    <w:p>
      <w:r>
        <w:t>Am 5. Mai 2011 klagte die Staatsanwaltschaft II des Kantons Zürich den Be- schuldigten an wegen mehrfachen Verbrechens gegen das Betäubungsmittelge- setz im Sinne von dessen Art. 19 Ziff. 1 Abs. 3-6 in Verbindung mit Ziff. 2 lit. a (al- te Fassung; Urk. 14). Mit Urteil vom 13. Oktober 2011 sprach das Bezirksgericht Zürich den Beschuldigten anklagegemäss schuldig und verurteilte ihn zu einer Freiheitsstrafe von 42 Monaten unter Anrechnung von 355 Tagen Untersu- chungshaft und vorzeitigen Strafvollzugs. Gleichzeitig ordnete es den Vollzug der mit Urteil des Obergerichts des Kantons Zürich vom 21. Februar 2008 ausgefäll- ten, bedingten Strafe von 15 Monaten und die Einziehung der beschlagnahmten Vermögenswerte und Gegenstände an (Urk. 41 S. 19 f.).</w:t>
      </w:r>
    </w:p>
    <w:p>
      <w:r>
        <w:rPr>
          <w:b/>
        </w:rPr>
        <w:t>E. 2</w:t>
      </w:r>
    </w:p>
    <w:p>
      <w:r>
        <w:t>Gegen das Urteil vom 13. Oktober 2011, das gleichentags mündlich eröffnet worden war (Prot. I S. 13), liess der Beschuldigte am 22. Oktober 2011 rechtzeitig Berufung anmelden (Urk. 34). Nach Erhalt des begründeten Urteils am 22. No- vember 2011 (Urk. 37/2) folgte mit Eingabe vom 12. Dezember 2011 innert Frist seine Berufungserklärung mit den oben erwähnten Anträgen (Urk. 42). Die Staatsanwaltschaft verzichtete auf Anschlussberufung und beantragte die Bestä- tigung des vorinstanzlichen Urteils (Urk. 46).</w:t>
      </w:r>
    </w:p>
    <w:p>
      <w:r>
        <w:rPr>
          <w:b/>
        </w:rPr>
        <w:t>E. 3</w:t>
      </w:r>
    </w:p>
    <w:p>
      <w:r>
        <w:t>Zur objektiven Tatschwere ist festzuhalten, dass der Beschuldigte vom 28. Au- gust 2010 bis zum 12. Oktober 2010 bei drei Treffen insgesamt ca. 2,3 Kilogramm Kokaingemisch von Kurieren übernahm und anschliessend gewinnbringend ver- kaufte oder auf Anweisung seiner Vorgesetzten an Dritte weitergab. Er wurde am 12. November 2010 verhaftet, als er weitere 790 Gramm Kokaingemisch von ei- nem Kurier übernehmen wollte. Wie die Vorinstanz überzeugend begründete (Urk. 41 S. 5 f.), ist von einem Reinheitsgehalt von 33% auszugehen, was ca. 1 Kilogramm reines Kokain ergibt. Durch eine solche Drogenmenge wurde eine Vielzahl von Menschen gefährdet und die Schwelle zum schweren Fall um das Vielfache überschritten. Mit dem Verkauf von insgesamt über 1 Kilogramm Koka- ingemisch (Urk. 2/6 S. 8, Urk. 2/7 S. 5 und Urk. 2/9 S. 5-7) erwirtschaftete der Be-</w:t>
      </w:r>
    </w:p>
    <w:p>
      <w:r>
        <w:t>- 8 - schuldigte während 16 Monaten einen Erlös von rund Fr. 55'000.--, den Grossteil davon innerhalb von weniger als vier Monaten. Dies zeugt von einer beträchtli- chen kriminellen Energie. Zusätzlich zur Drogenmenge fällt die Anzahl der Tat- handlungen ins Gewicht. Auch wenn der Beschuldigte keine höhere Position in der Hierarchie des Kokainhandels einnahm und die Droge auch direkt an Konsu- menten verkaufte, so war er doch kein reiner Befehlsempfänger. Er organisierte den Verkauf selbstständig, wozu er über ein eigentliches Kontaktnetz verfügte. Er stand auch persönlich in Kontakt mit den Drogenlieferanten im Ausland und mit den Kurieren. Seine Stellung im Drogenhandel war daher nicht mehr völlig unter- geordnet. Dass es am 12. November 2010 nicht zur Übernahme der 790 Gramm Kokain- gemisch und später auch nicht zu dem vom Beschuldigten geplanten Verkauf von 500 Gramm dieses Gemisches kam, ist nur seiner rechtzeitigen Verhaftung zuzu- schreiben und wirkt sich deshalb nur in sehr geringem Masse zu seinen Gunsten aus. Insgesamt ist daher von einer erheblichen objektiven Tatschwere auszuge- hen.</w:t>
      </w:r>
    </w:p>
    <w:p>
      <w:r>
        <w:rPr>
          <w:b/>
        </w:rPr>
        <w:t>E. 4</w:t>
      </w:r>
    </w:p>
    <w:p>
      <w:r>
        <w:t>Subjektiv fällt ins Gewicht, dass der Beschuldigte weder drogenabhängig noch in finanziellen Nöten war, verfügte er doch über ein legales monatliches Einkom- men von Fr. 3'800.-- bis Fr. 4'300.-- (Urk. 2/9 S. 10). Auch seine Ehefrau war in dieser Zeit zumindest teilweise berufstätig. Der Beschuldigte handelte somit aus freiem Willen und aus rein finanziellen Interessen. Da er bereits einschlägige Er- fahrungen im organisierten Drogenhandel gemacht hatte, wirkt sich auch der von ihm geltend gemachte Umstand, er sei durch Bekannte seines Halbbruder in den Drogenhandel "hineingeraten", da diese von ihm Geld für die Schulden seines Bruders verlangt hätten (Urk. 25 S. 6), nicht zu seinen Gunsten aus. Weder be- stand eine eigentliche Familienpflicht, noch schuldete er dem Halbbruder Gehor- sam. Der von der Verteidigung geltend gemachte Strafmilderungsgrund gemäss Art. 48 lit. a Ziff. 4 StGB liegt demnach nicht vor. Der Beschuldigte war sich der strafrechtlichen Konsequenzen seiner Handlungen nur zu bewusst und hatte auch verschiedene legale Alternativen, um seinem Halbbruder finanziell auszuhelfen,</w:t>
      </w:r>
    </w:p>
    <w:p>
      <w:r>
        <w:t>- 9 - delinquierte aber dennoch. Die subjektive Tatschwere ist daher ebenfalls als er- heblich zu qualifizieren. Aufgrund der Tatkomponenten und angesichts der mehrfachen Tatbegehung so- wie der Deliktsmehrheit erweist sich eine hypothetische Einsatzstrafe von mindes- tens 36 Monaten als angemessen.</w:t>
      </w:r>
    </w:p>
    <w:p>
      <w:r>
        <w:rPr>
          <w:b/>
        </w:rPr>
        <w:t>E. 5</w:t>
      </w:r>
    </w:p>
    <w:p>
      <w:r>
        <w:t>Bezüglich der persönlichen Verhältnisse kann vornehmlich auf die Ausführun- gen der Vorinstanz verwiesen werden (Urk. 41 S. 12 f.). Hinzuzufügen ist, dass entgegen der Ansicht der Verteidigung (Urk. 53 S. 8) keine Strafempfindlichkeit vorliegt. Die Trennung von der Ehefrau und anderen Verwandten ist die logische Konsequenz einer längeren unbedingten Freiheitsstrafe. Ausserordentliche Um- stände, die eine Strafreduktion in Betracht kommen lassen würden, liegen hier nicht vor. Auf das Strafmass haben die persönlichen Verhältnisse des Beschuldigten keine Auswirkungen. Massiv straferhöhend zu gewichten sind jedoch die drei einschlä- gigen Vorstrafen des Beschuldigten (Urk. 12/5). Der Ansicht der Verteidigung, die Vorstrafen des Beschuldigten seien weniger straferhöhend zu werten, als dies die Vorinstanz getan habe, ist nicht zu folgen. Die von ihr zitierte Literatur (Ur. 53 S. 6 f.) geht von einem "haltlosen, antriebs- und willensschwachen" Täter aus, der in kriminelles Fahrwasser geraten ist. Vorliegend lebte der mehrfach einschlägig vorbestrafte, aber nicht drogensüchtige Beschuldigte zur Tatzeit in geordneten familiären und beruflichen Verhältnissen. Unter diesen Umständen gehen auch die erwähnten Lehrmeinungen von erhöhter Schuld aus (BSK StGB I- Wiprächtiger, Art. 47 N 105 f.). Ebenfalls straferhöhend wirkt sich aus, dass der Beschuldigte während laufender Probezeit und trotz des drohenden Vollzugs ei- ner Freiheitsstrafe von 15 Monaten delinquierte. Dies zeugt von einer ausgepräg- ten Unbelehrbarkeit. Zu seinen Gunsten ist demgegenüber sein Geständnis zu werten. Er zeigte sich, wenn auch nicht von Anfang an, so letztlich doch vollum- fänglich geständig und erleichterte die Strafuntersuchung auch gegen seine Mittä- ter (Urk. 2/3 S. 18). Zu berücksichtigen ist allerdings, dass sich sein Geständnis vornehmlich auf Sachverhalte bezog, bei denen sich der Beschuldigte bereits mit</w:t>
      </w:r>
    </w:p>
    <w:p>
      <w:r>
        <w:t>- 10 - einer ihn stark belastenden Beweislage konfrontiert sah (Urk. 2/3 S. 13 ff., Urk. 2/7 S. 4 ff.). Es wirkt sich daher nur leicht strafmindernd aus.</w:t>
      </w:r>
    </w:p>
    <w:p>
      <w:r>
        <w:rPr>
          <w:b/>
        </w:rPr>
        <w:t>E. 6</w:t>
      </w:r>
    </w:p>
    <w:p>
      <w:r>
        <w:t>Aufgrund der Täterkomponente wäre die Einsatzstrafe folglich um 12 Monate zu erhöhen, was aber dem Verschlechterungsverbot gemäss Art. 391 Abs. 2 StPO zuwiderlaufen würde. Die von der Vorinstanz ausgesprochene Freiheitsstra- fe von 42 Monaten ist demnach zu bestätigen. Die erstandene Untersuchungshaft sowie der vorzeitige Strafvollzug von bis heute insgesamt 475 Tagen sind daran anzurechnen. III. Widerruf Begeht der zu einer bedingt vollziehbaren Strafe Verurteilte in der Probezeit er- neut ein Verbrechen oder Vergehen und ist deshalb zu erwarten, dass er weitere Delikte verüben wird, so widerruft das Gericht die bedingte Strafe (Art. 46 Abs. 1 StGB). Die vorliegend eingeklagten Straftaten beging der Beschuldigte während der fünfjährigen Probezeit, die ihm mit Urteil des Obergerichts des Kantons Zürich vom 21. Februar 2008 angesetzt worden war. Die Verurteilung zu einer längeren bedingten Freiheitsstrafe vermochte den Beschuldigten nicht davon abzuhalten, schon im folgenden Jahr erneut mit Drogen zu handeln. Er delinquierte damit be- reits zum vierten Mal und erneut während laufender Probezeit (Urk. 12/5), was seine Unbelehrbarkeit beweist. Dass der Beschuldigte geheiratet und eine Auf- enthaltsbewilligung erworben hatte, mithin in geordneten Verhältnissen lebte, hielt ihn nicht vom Delinquieren ab. Ihm kann daher entgegen der Ansicht der Verteidi- gung (Urk. 42 S. 3) keinesfalls eine besonders günstige Prognose gestellt wer- den. Im Gegenteil ist ernsthaft zu befürchten, dass er auch in Zukunft einschlägi- ge Straftaten begehen wird. Die mit Urteil des Obergerichts des Kantons Zürich vom 21. Februar 2008 ausgefällte, bedingt vollziehbare Strafe von 15 Monaten Gefängnis ist folglich zu widerrufen. Da es sich sowohl bei der heute auszusprechenden Strafe wie auch bei der zu widerrufenden Vorstrafe um Freiheitsstrafen handelt, ist gemäss Praxis des Bun-</w:t>
      </w:r>
    </w:p>
    <w:p>
      <w:r>
        <w:t>- 11 - desgerichts keine Gesamtstrafe zu bilden (BGE 134 IV 241 E. 4 und 137 IV 57 E. 4.3). IV. Kosten Ausgangsgemäss sind dem Beschuldigten die Kosten des Berufungsverfahrens aufzuerlegen. Die Kosten der amtlichen Verteidigung im Berufungsverfahren sind unter dem Vorbehalt der Rückzahlungspflicht des Beschuldigten gemäss Art. 135 Abs. 4 StPO auf die Gerichtskasse zu nehmen, soweit sie nicht durch die be- schlagnahmten Vermögenswerte gedeckt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