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SB110642 vom 13. Juli 2012</w:t>
      </w:r>
    </w:p>
    <w:p>
      <w:r>
        <w:t>ZH Obergericht, 2012-07-13, DE</w:t>
      </w:r>
    </w:p>
    <w:p>
      <w:r>
        <w:rPr>
          <w:b/>
        </w:rPr>
        <w:t xml:space="preserve">Quelle: </w:t>
      </w:r>
      <w:r>
        <w:t>https://mcp.opencaselaw.ch/entscheid/zh_obergericht_SB110642</w:t>
      </w:r>
    </w:p>
    <w:p>
      <w:r>
        <w:t>FR: ZH_OBERGERICHT SB110642 du 13 juillet 2012</w:t>
      </w:r>
    </w:p>
    <w:p>
      <w:r>
        <w:t>IT: ZH_OBERGERICHT SB110642 del 13 luglio 2012</w:t>
      </w:r>
    </w:p>
    <w:p>
      <w:pPr>
        <w:pStyle w:val="Heading2"/>
      </w:pPr>
      <w:r>
        <w:t>Erwägungen</w:t>
      </w:r>
    </w:p>
    <w:p>
      <w:r>
        <w:rPr>
          <w:b/>
        </w:rPr>
        <w:t>E. 22</w:t>
      </w:r>
    </w:p>
    <w:p>
      <w:r>
        <w:t>und Urk. 11/18, 10/11 S. 24ff., 17/10 S. 3), als er zehn Monate vor der Bluttat die neue Arbeitsstelle antrat. Auch dafür, dass er die Wohnungsmiete seit Mai 2009 nicht mehr bezahlen konnte, trug der Beschuldigte weitgehend selber</w:t>
      </w:r>
    </w:p>
    <w:p>
      <w:r>
        <w:t>- 11 - Schuld, hat er doch den Kontakt mit den Sozialbehörden, welche die Situation po- tenziell hätten entschärfen können, gescheut und zwar aus Gründen, die mit dem Arbeitgeber nicht direkt zusammenhingen (vgl. Urk. 3/10, 3/35 S. 2f., 3/33 S. 4). Festzuhalten ist ferner, dass der Beschuldigte von der Kündigung seiner Woh- nung schon seit Juni 2009 wusste (Urk. 3/22+23) und dass er diese Information seiner Ehefrau vorenthalten hat, sodass er deren Reaktion, als sie am Ende den- noch davon erfuhr, aufgrund derer er sich die Nacht vor der Tat nicht mehr nach Hause traute, selber zu vertreten hat (vgl. Urk. 10/11 S. 33). Zu Recht taxierte die Vorinstanz sodann die Beschimpfungen, die das spätere Opfer gegenüber dem Beschuldigte ausgestossen haben soll, nicht als derart, dass die in eine Tötungs- handlung mündende heftige Gemütsbewegung des Beschuldigten aus objektiver Warte begreiflich und verhältnismässig erscheinen würde; dass ein vernünftiger Mensch aus den gleichen sozialen Verhältnissen und unter den selben Bedingun- gen in einen vergleichbaren Affekt geraten wäre, schloss die Vorinstanz zu Recht aus (Urk. 59 S. 23). Damit fällt – entgegen der Auffassung der Verteidigung (Urk. 74 S. 14-17) – die Anwendung des Tatbestands des Totschlags ausser Betracht und die Bluttat des Beschuldigten ist gemäss dem Grundtatbestand der Tötung nach Art. 111 StGB zu beurteilen. Hinsichtlich des subjektiven Tatbestands nahm die Vorinstanz direkten Vor- satz ersten Grades an. Dies zu Recht, waren die Vielzahl und Art der Schnittver- letzungen (16 Stiche in die Brust und auch zwei lange Schnittverletzungen im Kehlkopfbereich) doch darauf angelegt, den Tod des Opfers geradezu sicherzu- stellen. Es kann diesbezüglich auf die überzeugenden Erwägungen im angefoch- tenen Urteil verwiesen werden (a.a.O. S. 23-25). Zu Recht erblickte die Vor- instanz im Handeln des Beschuldigten auch keine Rechtfertigungsgründe (a.a.O. S. 25f.). Die Verurteilung des Beschuldigten wegen vorsätzlicher Tötung im Sinne von Art. 111 StGB ist deshalb zu bestätigen. Zu seinen Gunsten ist ihm mit der Vorinstanz, die auf das psychiatrische Gutachten abstellte (a.a.O. S. 25f.), für die Tatzeit immerhin eine leicht verminderte Schuldfähigkeit zu attestieren.</w:t>
      </w:r>
    </w:p>
    <w:p>
      <w:r>
        <w:t>- 12 - Da die Vorinstanz, wie ausgeführt, die Tatvariante des vollständigen oder hochgradigen Steuerungsverlustes mit überzeugender Begründung verworfen hat, kann entgegen der Auffassung der Verteidigung (Urk. 74 Rz. 77) nicht von einer mittel- bis hochgradig verminderten Schuldfähigkeit ausgegangen werden. Auch lässt sich, entgegen den Ausführungen des Verteidigers (Urk. 74 Rz. 71 und 78), die Situation des Beschuldigten in keiner Weise mit dem Fall des sogenann- ten "Fluglotsenmörders" vergleichen, welcher durch ein tragisches Unglück die ganze Familie verloren hatte, weshalb sich Ausführungen im Sinne eines Ver- gleichs der beiden Taten erübrigen. IV. Sanktion Die Vorinstanz hat die allgemeinen Regeln der Strafzumessung vollständig und korrekt aufgeführt, sodass vorab darauf verwiesen werden kann (Urk. 59, S. 26-28, 30 und 32f.). Sie ist zurecht von einem Strafrahmen für vorsätzliche Tötung von 5 bis 20 Jahren Freiheitsstrafe ausgegangen und hat drauf hingewiesen, dass dieser Rahmen bei verminderter Schuldfähigkeit des Täters nur in aussergewöhn- lichen Fällen unterschritten werden darf. Bei der Prüfung der objektiven Tatschwere führte die Vorinstanz richtiger- weise die grosse Anzahl an lebensbedrohlichen Messerstichen an, die der Be- schuldigte dem Opfer zugefügt hat, und den Umstand, dass das Vorgehen vom Verletzungsbild her als gezielt und brutal zu bezeichnen ist. Zurecht erwähnte die Vorinstanz auch die beiden langen Schnittverletzungen am Hals des Opfers (a.a.O. S. 24 und 28), die den Anschein machen, als ob damit die Tötung hätte besiegelt werden sollen. Zuletzt wies sie auf die durch Schnittverletzungen an beiden Händen und Armen des Opfers dokumentierten Verteidigungsversuche desselben hin, die aufzeigen, wie hilflos und erbärmlich diese Person, die dem Angreifer auch körperlich weit unterlegen war (vgl. Urk. 2/4 S. 5), sterben musste. Wenn die Vorinstanz aufgrund der objektiven Tatschwere auf eine hypothetische Einsatzstrafe von 17 Jahre schloss, so ist dies ohne Weiteres nachvollziehbar. Aufgrund des äusserst grausamen Vorgehens liegt die Tat des Beschuldigten –</w:t>
      </w:r>
    </w:p>
    <w:p>
      <w:r>
        <w:t>- 13 - entgegen der Ansicht der Verteidigung (Urk. 72 Rz. 82) – unter objektiven Ge- sichtspunkten nicht weit unterhalb eines Mordes. Ebenfalls zu folgen ist dem Bezirksgericht wenn es die Einsatzstrafe infolge der Bewertung der subjektiven Tatschwere um ein weiteres Jahr anhob (a.a.O. S. 29). An der direkten Tötungsabsicht des Beschuldigten ist aufgrund der Tatum- stände nicht zu zweifeln, sodass seine Behauptung, er habe keinerlei Kontrolle über sein Tun gehabt, nicht zu hören ist. Als einzig denkbares Motiv hat die Vor- instanz zu Recht Vergeltung und Rache für die vom Beschuldigten seinem Arbeit- geber angelastete ungerechte Behandlung gesehen. Entgegen den Ausführungen des Verteidigers (Urk. 74 Rz. 91) kann allerdings nicht gesagt werden, dass die Beschimpfungen und Beleidigungen des Opfers kulturell bedingt zu einer massi- ven und entsprechend strafmindernd zu berücksichtigenden Verletzung des Ehr- gefühls des Beschuldigten geführt hätten. Der Beschuldigte hat heute selber aus- gesagt, dass er keine Mühe damit gehabt habe, dass das Opfer über ihn geflucht habe, er habe diesem ja eine Ohrfeige gegeben, womit die Sache für ihn erledigt gewesen sei (Urk. 73 S. 10). Die dem Beschuldigten gutachterlich attestierte, leichtgradig eingeschränkte Steuerungsfähigkeit bei voll erhaltener Einsichtsfä- higkeit veranlasste die Vorinstanz jedoch dazu, die Einsatzstrafe um 4 Jahre auf 14 Jahre zu reduzieren (a.a.O. S. 30). Auch wenn dies eher wohlwollend er- scheint, so erweist sich diese Strafminderung als vertretbar und sie ist im Ergeb- nis nicht zu bemängeln. Bei der Beurteilung der Täterkomponente hat die Vorinstanz in der Lebensge- schichte des Beschuldigten, für die auf das angefochtene Urteil verwiesen werden kann (a.a.O. S. 32), zu Recht keine strafzumessungsrelevanten Faktoren erblickt. Einzig seine strafvollzugsgedingte Trennung von Frau und Kindern wurde ihm rich- tigerweise leicht strafmildernd zugute gehalten. Dem stehen allerdings seine zwei Vorstrafen aus den Jahren 2005 und 2006 wegen Strassenverkehrs- bzw. Eigen- tumsdelikten gegenüber, die sich leicht straferhöhend auszuwirken haben. Sehr ausführlich hat sich das bezirksgerichtliche Urteil mit dem Nachtatver- halten des Beschuldigten auseinandergesetzt (a.a.O. S. 32-36). Auffällig überlegt und zielgerichtet, ja fast generalstabsmässig war seine Vorgehensweise in den</w:t>
      </w:r>
    </w:p>
    <w:p>
      <w:r>
        <w:t>- 14 - ersten Stunden nach der Bluttat bis zum Abflug in Richtung J._____: Das Verste- cken der Leiche, die Beseitigung der Tatwaffe und von weiteren Spurenträgern, das bewusste Zurücklassen des Bäckereiwagens und das Organisieren einer an- deren, unverdächtigen Fahrgelegenheit mittels Herbeirufen eines guten Freundes sowie das gegenüber diesem und der Ehefrau fingierten Motiv für die plötzliche Reise … [nach] J._____ sollten ihm einerseits Zeit für seine Flucht verschaffen und andererseits seine Täterschaft verschleiern. Er zeigte sich denn auch am Tag nach der Tat am Telefon mit seiner Frau recht erstaunt, dass der Tatverdacht trotz seiner Bemühungen bereits auf ihn gefallen war (vgl. Urk. 8/1). Die zahlrei- chen weiteren Telefonate mit seiner Ehefrau aus J._____ sind ebenfalls sehr auf- schlussreich (Urk. 8/2-29): Sie zeigen, dass der Beschuldigte systematisch und ohne jede Reue darauf aus war, die für ihn günstigste Vorgehensweise zu ermit- teln. Dass er bei der ebenfalls so vorteilhaft wie möglich inszenierten Rückkehr in die Schweiz unerwartet am Flughafen in … verhaftet wurde, war eine Art Regie- fehler. Entgegen der Verteidigung (Urk. 74 Rz. 96). lässt sich nicht sagen, dass es die Ehefrau gewesen sei, welche sich bemüht habe, das für ihn günstigste Vorge- hen zu ermitteln, und der Beschuldigte dieser bloss gefolgt sei, weil er zu sehr un- ter ihrem Einfluss gestanden und Furcht gehabt habe, von ihr verlassen zu wer- den. Vielmehr bat ihn seine Ehefrau am Telefon mehrmals und inständig darum, sich zu stellen und seine Verantwortung wahrzunehmen, wie die Vorinstanz zu Recht betont hat. Richtig erkannt hat die Vorinstanz auch, dass sich das alsdann an den Tag gelegte Bedauern des Beschuldigten mehr auf die nachteiligen Fol- gen der Tat für sein Leben und jenes seiner Familie bezog und Mitleid für das Op- fer und dessen Angehörige nicht auszumachen war. Wenn die Vorinstanz beim Beschuldigten ebenso wenig eine Einsicht oder eine eigentliche Kooperation mit den Behörden zu erblicken vermochte und des Weiteren sein Aussageverhalten als taktierend und das grundsätzliche Geständnis, welches die zentralen Tatein- zelheiten ausblendete, als taktisch motiviert qualifizierte, so ist dies alles gut be- gründet. Bleibt zugunsten des Beschuldigten einzig die Tatsache zu werten, dass er, wenn auch erst vier Monate nach der Tat, schliesslich doch in die Schweiz zu- rückkehrte und hier wenigstens grundsätzlich zu seiner Tat stand. Angesichts je- doch aller übrigen Aspekte seines Nachttatverhaltens muss in Übereinstimmung</w:t>
      </w:r>
    </w:p>
    <w:p>
      <w:r>
        <w:t>- 15 - mit der Vorinstanz festgestellt werden, dass diese beiden Umstände nur noch sehr beschränkt strafreduzierend ins Gewicht fallen können. Die geringfügige Strafminderung, die sich daraus ergibt, und die weitere wegen der erwähnten Strafempfindlichkeit des Beschuldigten werden allerdings von der durch die Vor- strafen bedingten Anhebung der Strafe wieder wettgemacht. Die im Ergebnis von der Vorinstanz ausgefällte (unbedingte) Freiheitsstrafe von 14 Jahren ist folglich zu bestätigen, zumal auch die Staatsanwaltschaft in der Berufungsverhandlung keine neuen Argumente vorbrachte (Prot. II S. 7 und Urk. 75). Seit der Verhaftung des Beschuldigten am Flughafen … am 24. März 2010 und dem heutigen Tag befindet er sich im staatlichen Gewahrsam. Diese Haftzeit und die bisherige Dauer des vorzeitig angetretenen Strafvollzugs betragen bis heute 842 Tage, welche an die Strafe anzurechnen sind. V. Kosten Der Beschuldigte unterliegt mit seiner Berufung und hat deshalb die Kosten des Rechtsmittelverfahrens zu tragen (Art. 428 Abs. 1 StPO). Aufgrund seiner schlechten finanziellen Verhältnisse sind die Kosten, mit Ausnahme derjenigen der amtlichen Verteidigung, abzuschreiben. Die Kosten seiner amtlichen Verteidi- gung in zweiter Instanz sind gemäss Art. 135 Abs. 1 StPO auf die Gerichtskasse zu nehmen unter Vorbehalt der Rückzahlungspflicht des Beschuldigten gemäss Abs. 4 dieser Bestimmung. Es wird beschlossen: 1. Es wird festgestellt, dass das Urteil des Bezirksgerichts Zürich, 10. Abtei- lung, vom 28. Juni 2011 hinsichtlich Dispositivziffern 4-7 (Zivilansprüche), 8</w:t>
      </w:r>
    </w:p>
    <w:p>
      <w:r>
        <w:t>- 16 - (Herausgabe) und 9-11 (Kosten- und Entschädigungs-Dispositiv) in Rechts- kraft erwachsen ist. 2. Mündliche Eröffnung und schriftliche Mitteilung mit nachfolgendem Urteil. Es wird erkannt: 1. Der Beschuldigte A._____ ist schuldig der vorsätzlichen Tötung im Sinne von Art. 111 StGB. 2. Er wird bestraft mit 14 Jahren Freiheitsstrafe, wovon 842 Tage durch Haft sowie vorzeitigen Strafvollzug bis und mit heute erstanden sind. 3. Die zweitinstanzliche Gerichtsgebühr wird festgesetzt auf: Fr. 4'000.– ; die weiteren Kosten betragen: Fr. amtliche Verteidigung (noch ausstehend) 4. Die Kosten des Berufungsverfahrens werden dem Beschuldigten auferlegt, jedoch abgeschrieben. Die Kosten der amtlichen Verteidigung im Beru- fungsverfahren werden auf die Gerichtskasse genommen. Die Rückzah- lungspflicht gemäss Art. 135 Abs. 4 StPO bleibt vorbehalten. 5. Mündliche Eröffnung und schriftliche Mitteilung im Dispositiv an − die amtliche Verteidigung im Doppel für sich und zuhanden des Angeklagten (übergeben) − die Staatsanwaltschaft IV des Kantons Zürich (übergeben) − den Justizvollzug des Kantons Zürich, Abteilung Bewährungs- und Vollzugsdienste − den Vertreter der Privatkläger, Rechtsanwalt lic. iur. Y._____, … [Ad- resse], siebenfach für sich und zuhanden der Privatkläger sowie in vollständiger Ausfertigung an − die amtliche Verteidigung im Doppel für sich und zuhanden des Angeklagten − die Staatsanwaltschaft IV des Kantons Zürich</w:t>
      </w:r>
    </w:p>
    <w:p>
      <w:r>
        <w:t>- 17 - − den Vertreter der Privatkläger, siebenfach für sich und zuhanden der Privatkläger und nach unbenütztem Ablauf der Rechtsmittelfrist bzw. Erledigung allfälli- ger Rechtsmittel an − die Vorinstanz − die Koordinationsstelle VOSTRA mit Formular A − das Amt für Justizvollzug des Kantons Zürich, Abteilung Bewährungs- und Vollzugsdienste, unter Beilage des Formulars "Löschung des DNA- Profils und Vernichtung des ED-Materials" − das Migrationsamt des Kantons Zürich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13. Juli 2012 Der Vorsitzende: Der Gerichtsschreiber: lic. iur. Th. Meyer lic. iur. Höfliger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