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SB110567 vom 19. Dezember 2011</w:t>
      </w:r>
    </w:p>
    <w:p>
      <w:r>
        <w:t>ZH Obergericht, 2011-12-19, DE</w:t>
      </w:r>
    </w:p>
    <w:p>
      <w:r>
        <w:rPr>
          <w:b/>
        </w:rPr>
        <w:t xml:space="preserve">Quelle: </w:t>
      </w:r>
      <w:r>
        <w:t>https://mcp.opencaselaw.ch/entscheid/zh_obergericht_SB110567</w:t>
      </w:r>
    </w:p>
    <w:p>
      <w:r>
        <w:t>FR: ZH_OBERGERICHT SB110567 du 19 décembre 2011</w:t>
      </w:r>
    </w:p>
    <w:p>
      <w:r>
        <w:t>IT: ZH_OBERGERICHT SB110567 del 19 dicembre 2011</w:t>
      </w:r>
    </w:p>
    <w:p>
      <w:pPr>
        <w:pStyle w:val="Heading2"/>
      </w:pPr>
      <w:r>
        <w:t>Erwägungen</w:t>
      </w:r>
    </w:p>
    <w:p>
      <w:r>
        <w:rPr>
          <w:b/>
        </w:rPr>
        <w:t>E. 1</w:t>
      </w:r>
    </w:p>
    <w:p>
      <w:r>
        <w:t>Der Beschuldigte A._____ ist schuldig − des mehrfachen Diebstahls im Sinne von Art. 139 Ziff. 1 StGB sowie − des vorsätzlichen Fahrens in fahrunfähigem Zustand im Sinne von Art. 91 Abs. 1 SVG in Verbindung mit Art. 1 der Verordnung der Bundesversammlung über Blutalkoholgrenzwerte im Strassenverkehr.</w:t>
      </w:r>
    </w:p>
    <w:p>
      <w:r>
        <w:rPr>
          <w:b/>
        </w:rPr>
        <w:t>E. 2</w:t>
      </w:r>
    </w:p>
    <w:p>
      <w:r>
        <w:t>Der Beschuldigte wird bestraft mit einer Freiheitsstrafe von 28 Monaten (wovon 163 Tage durch Untersuchungshaft erstanden sind, gerechnet bis am 10. September 2010).</w:t>
      </w:r>
    </w:p>
    <w:p>
      <w:r>
        <w:rPr>
          <w:b/>
        </w:rPr>
        <w:t>E. 3</w:t>
      </w:r>
    </w:p>
    <w:p>
      <w:r>
        <w:t>Der Vollzug der Freiheitsstrafe wird im Umfang von 14 Monaten aufge- schoben und die Probezeit auf 3 Jahre festgesetzt. Im Übrigen (14 Monate, abzüglich 163 Tage, die durch Untersuchungshaft erstanden sind) wird die Freiheitsstrafe vollzogen.</w:t>
      </w:r>
    </w:p>
    <w:p>
      <w:r>
        <w:rPr>
          <w:b/>
        </w:rPr>
        <w:t>E. 4</w:t>
      </w:r>
    </w:p>
    <w:p>
      <w:r>
        <w:t>Der Beschuldigte wird verpflichtet, den Privatklägern B._____ und C._____ Fr. 350'000.– als Schadenersatz zu bezahlen, solidarisch mit allfälligen Mittätern. Im Mehrbetrag wird ihr Schadenersatzbegehren auf den Weg des Zivil- prozesses verwiesen.</w:t>
      </w:r>
    </w:p>
    <w:p>
      <w:r>
        <w:t>- 3 -</w:t>
      </w:r>
    </w:p>
    <w:p>
      <w:r>
        <w:rPr>
          <w:b/>
        </w:rPr>
        <w:t>E. 5</w:t>
      </w:r>
    </w:p>
    <w:p>
      <w:r>
        <w:t>Die Gerichtsgebühr wird festgesetzt auf: Fr. 3'500.00 ; die weiteren Kosten betragen: ausserkantonale Verfahrenskosten (gemäss Belegen, Fr. 18'192.55 HD act. 26/4.1-4) Fr. 6'008.10 amtl. Verteidigungskosten (bereits bezahlt) Fr. amtl. Verteidigungskosten (ausstehend) Fr. Dolmetscherkosten (ausstehend) Fr. Allfällige weitere Kosten bleiben vorbehalten.</w:t>
      </w:r>
    </w:p>
    <w:p>
      <w:r>
        <w:rPr>
          <w:b/>
        </w:rPr>
        <w:t>E. 6</w:t>
      </w:r>
    </w:p>
    <w:p>
      <w:r>
        <w:t>Die Kosten der Untersuchung und des gerichtlichen Verfahrens werden dem Beschuldigten auferlegt. Die Kosten der amtlichen Verteidigung werden auf die Gerichtskasse genommen, wobei ein nachträglicher Rückgriff des Staates auf den Beschuldigten nach Art. 135 Abs. 4 StPO vorbehalten bleibt.</w:t>
      </w:r>
    </w:p>
    <w:p>
      <w:r>
        <w:rPr>
          <w:b/>
        </w:rPr>
        <w:t>E. 7</w:t>
      </w:r>
    </w:p>
    <w:p>
      <w:r>
        <w:t>(Mitteilungen)</w:t>
      </w:r>
    </w:p>
    <w:p>
      <w:r>
        <w:rPr>
          <w:b/>
        </w:rPr>
        <w:t>E. 8</w:t>
      </w:r>
    </w:p>
    <w:p>
      <w:r>
        <w:t>(Rechtsmittel) und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