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SB110455 vom 15. Februar 2012</w:t>
      </w:r>
    </w:p>
    <w:p>
      <w:r>
        <w:t>ZH Obergericht, 2012-02-15, DE</w:t>
      </w:r>
    </w:p>
    <w:p>
      <w:r>
        <w:rPr>
          <w:b/>
        </w:rPr>
        <w:t xml:space="preserve">Quelle: </w:t>
      </w:r>
      <w:r>
        <w:t>https://mcp.opencaselaw.ch/entscheid/zh_obergericht_SB110455</w:t>
      </w:r>
    </w:p>
    <w:p>
      <w:r>
        <w:t>FR: ZH_OBERGERICHT SB110455 du 15 février 2012</w:t>
      </w:r>
    </w:p>
    <w:p>
      <w:r>
        <w:t>IT: ZH_OBERGERICHT SB110455 del 15 febbraio 2012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November 2010 (DG100056)</w:t>
      </w:r>
    </w:p>
    <w:p>
      <w:r>
        <w:t>- 2 - Anklage Die Anklageschrift der Staatsanwaltschaft Limmattal/Albis vom 22. Oktober 2010 ist diesem Urteil beigeheftet (Urk. 27). Urteil und Beschluss der Vorinstanz: Das Gericht beschliesst: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