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SB110227 vom 5. Juli 2011</w:t>
      </w:r>
    </w:p>
    <w:p>
      <w:r>
        <w:t>ZH Obergericht, 2011-07-05, DE</w:t>
      </w:r>
    </w:p>
    <w:p>
      <w:r>
        <w:rPr>
          <w:b/>
        </w:rPr>
        <w:t xml:space="preserve">Quelle: </w:t>
      </w:r>
      <w:r>
        <w:t>https://mcp.opencaselaw.ch/entscheid/zh_obergericht_SB110227</w:t>
      </w:r>
    </w:p>
    <w:p>
      <w:r>
        <w:t>FR: ZH_OBERGERICHT SB110227 du 5 juillet 2011</w:t>
      </w:r>
    </w:p>
    <w:p>
      <w:r>
        <w:t>IT: ZH_OBERGERICHT SB110227 del 5 luglio 2011</w:t>
      </w:r>
    </w:p>
    <w:p>
      <w:pPr>
        <w:pStyle w:val="Heading2"/>
      </w:pPr>
      <w:r>
        <w:t>Erwägungen</w:t>
      </w:r>
    </w:p>
    <w:p>
      <w:r>
        <w:rPr>
          <w:b/>
        </w:rPr>
        <w:t>E. 1</w:t>
      </w:r>
    </w:p>
    <w:p>
      <w:r>
        <w:t>Der Angeklagte ist schuldig − des Fahrens in fahrunfähigem Zustand im Sinne von Art. 91 Abs. 1 Satz 2 SVG, − der fahrlässigen Körperverletzung im Sinne von Art. 125 Abs. 1 StGB, − des Nichtmitführens der erforderlichen Ausweise im Sinne von Art. 99 Ziff. 3 SVG.</w:t>
      </w:r>
    </w:p>
    <w:p>
      <w:r>
        <w:rPr>
          <w:b/>
        </w:rPr>
        <w:t>E. 2</w:t>
      </w:r>
    </w:p>
    <w:p>
      <w:r>
        <w:t>Der Angeklagte wird bestraft mit einer Geldstrafe von 120 Tagessätzen zu Fr. 100.– (insgesamt Fr. 12'000.–) sowie mit einer Busse von Fr. 1'000.–. Bezahlt der Angeklagte die Busse schuldhaft nicht, so tritt an deren Stelle eine Ersatzfreiheitsstrafe von 10 Tagen.</w:t>
      </w:r>
    </w:p>
    <w:p>
      <w:r>
        <w:rPr>
          <w:b/>
        </w:rPr>
        <w:t>E. 3</w:t>
      </w:r>
    </w:p>
    <w:p>
      <w:r>
        <w:t>Der Vollzug der Geldstrafe wird aufgeschoben und die Probezeit auf 2 Jahre angesetzt.</w:t>
      </w:r>
    </w:p>
    <w:p>
      <w:r>
        <w:rPr>
          <w:b/>
        </w:rPr>
        <w:t>E. 4</w:t>
      </w:r>
    </w:p>
    <w:p>
      <w:r>
        <w:t>Der Angeklagte ist dem Geschädigten dem Grundsatz nach mit einer Haf- tungsquote von 100% in zivilrechtlicher Hinsicht vollumfänglich schadener- satzpflichtig und schuldet ihm eine Genugtuung.</w:t>
      </w:r>
    </w:p>
    <w:p>
      <w:r>
        <w:rPr>
          <w:b/>
        </w:rPr>
        <w:t>E. 5</w:t>
      </w:r>
    </w:p>
    <w:p>
      <w:r>
        <w:t>Die Zivilansprüche des Geschädigten werden auf den Zivilweg verwiesen.</w:t>
      </w:r>
    </w:p>
    <w:p>
      <w:r>
        <w:t>- 4 -</w:t>
      </w:r>
    </w:p>
    <w:p>
      <w:r>
        <w:rPr>
          <w:b/>
        </w:rPr>
        <w:t>E. 6</w:t>
      </w:r>
    </w:p>
    <w:p>
      <w:r>
        <w:t>Die Gerichtsgebühr wird festgesetzt auf: Fr. 1000.00 ; die weiteren Auslagen betragen: Fr. Kosten der Kantonspolizei Fr. Kanzleikosten Untersuchung Fr. 5'678.50 Auslagen Untersuchung Allfällige weitere Auslagen bleiben vorbehalten.</w:t>
      </w:r>
    </w:p>
    <w:p>
      <w:r>
        <w:rPr>
          <w:b/>
        </w:rPr>
        <w:t>E. 7</w:t>
      </w:r>
    </w:p>
    <w:p>
      <w:r>
        <w:t>Die Verteidigung betont immer wieder, dass der Angeklagte von rechts ge- kommen sei und demnach Vortritt gehabt habe. Das ist grundsätzlich unbestritten. Aufgrund der Unfallspuren steht jedoch ebenfalls fest, dass sich der Geschädigte zuerst auf der Kreuzung befand. Das ist vorliegend entscheidend. Gemäss Art. 14 Abs. 2 VRV ist der Vortrittsberechtigte nämlich verpflichtet, auf diejenigen Stras- senbenützer Rücksicht zu nehmen, die eine Strassenverzweigung erreichen, be- vor sie ihn erblicken konnten, was eine aus praktischen Gründen unabdingbare Relativierung des Vortrittsrechts bedeutet. Unter diesen Umständen kann sich der Angeklagte nicht auf sein Vortrittsrecht berufen, bzw. dieses tritt gegenüber seiner Pflicht zur Rücksichtnahme auf den grundsätzlich vortrittsbelasteten Geschädigten in den Hintergrund. Der Angeklag- te war unaufmerksam, indem er es unterliess, sich mit einem Kontrollblick nach links zu vergewissern, dass sich von dort niemand nähert und vor ihm die Kreu- zung erreicht. Zur Kollision beigetragen hat weiter die deutlich überhöhte Ge- schwindigkeit des Angeklagten, da er andernfalls erst nach dem Geschädigten auf die Kreuzung gelangt wäre oder die Kollision zumindest eher vermeidbar ge- wesen wäre, weil mehr Zeit für eine Reaktion zur Verfügung gestanden hätte, wenn er jedenfalls nicht mit mehr als der erlaubten Höchstgeschwindigkeit von 30 km/h gefahren wäre. Ob der Geschädigte vor der Kreuzung angehalten hatte, ist für die strafrechtliche Würdigung des Verhaltens des Angeklagten ohne Belang, da der Geschädigte die Kreuzung unabhängig davon vor ihm erreichte, wie aus dem Kollisionsbild (Front gegen rechte Seite) zweifelsfrei hervorgeht, und somit Art. 14 Abs. 2 VRV zur Anwendung kommt. Ein allfälliges Selbstverschulden des Geschädigten wirkt sich lediglich auf die Haftpflicht aus. Auf die entsprechenden Vorbringen der Verteidi- gung ist daher bei der Behandlung der Zivilansprüche einzugehen (vgl. unten IV). Die Auffassung der Verteidigung, der Angeklagte werde zu Unrecht beschuldigt, weil er im Unfallzeitpunkt alkoholisiert gewesen sei (Prot. I S. 7), ist unbegründet.</w:t>
      </w:r>
    </w:p>
    <w:p>
      <w:r>
        <w:t>- 12 - Die Beweiswürdigung hat ergeben, dass der Angeklagte die zulässige Höchstge- schwindigkeit um mehr als die Hälfte überschritt und nicht nach links schaute, von wo der Geschädigte vor ihm auf die Kreuzung gelangte. Der Alkoholkonsum mag ein Grund für dieses Verhalten gewesen sein. Der Angeklagte hat damit jedoch unabhängig von seinem Alkoholkonsum seine Sorgfaltspflicht gleich mehrfach verletzt, was für den Unfall und den Eintritt der damit verbundenen Verletzungs- folgen (vgl. unten 8) kausal war und eine pflichtwidrige Unvorsichtigkeit i.S. von Art. 12 Abs. 3 StGB darstellt.</w:t>
      </w:r>
    </w:p>
    <w:p>
      <w:r>
        <w:rPr>
          <w:b/>
        </w:rPr>
        <w:t>E. 8</w:t>
      </w:r>
    </w:p>
    <w:p>
      <w:r>
        <w:t>Laut Angaben des Hausarztes erlitt der Geschädigte eine HWS-Distorsion und ein HWS-Beschleunigungstrauma (Urk. 11/5), was der behandelnde Neuro- loge untechnisch als Nackenschmerzen beschreibt (Urk. 11/6). Beide Ärzte beja- hen die Unfallkausalität der Beschwerden (Urk. 11/5 und 11/6). Diese Verlet- zungsfolgen wurden von der Vorinstanz zurecht der einfachen Körperverletzung i.S. von Art. 123 StGB zugeordnet (Urk. 33 S. 12 f.).</w:t>
      </w:r>
    </w:p>
    <w:p>
      <w:r>
        <w:rPr>
          <w:b/>
        </w:rPr>
        <w:t>E. 9</w:t>
      </w:r>
    </w:p>
    <w:p>
      <w:r>
        <w:t>Sämtliche Tatbestandselemente der fahrlässigen Körperverletzung i.S. von Art. 125 StGB sind erfüllt. Der Geschädigte stellte wenige Tage nach dem Unfall einen entsprechenden Strafantrag gegen den Angeklagten (Urk. 4). Der Ange- klagte ist demnach ferner der fahrlässigen Körperverletzung schuldig zu spre- chen. III. 1. Fahrlässige Körperverletzung i.S. 125 StGB und Fahren in fahrunfähigem Zustand i.S. von Art. 91 SVG werden mit Freiheitsstrafe von bis zu drei Jahren oder mit Geldstrafe geahndet. Der Angeklagte ist demnach mit einer Geld- oder Freiheitsstrafe, allenfalls verbunden mit einer Busse, zu belegen, die gemäss Art. 49 Abs. 1 StGB wegen Deliktsmehrheit angemessen zu erhöhen sind. Für das Nichtmitführen der erforderlichen Ausweise i.S. von Art. 99 Abs. 3 SVG ist dane- ben in jedem Fall eine Busse auszufällen. 2. Die Verteidigung rügt in Bezug auf die Strafzumessung, dass die Vorinstanz dem Angeklagten trotz seines Alkoholkonsums keine Verminderung der Zurech-</w:t>
      </w:r>
    </w:p>
    <w:p>
      <w:r>
        <w:t>- 13 - nungsfähigkeit zubilligte (Urk. 25 S. 2 Ziff. 3). Die Vorinstanz schloss die Anwen- dung von Art. 19 Abs. 2 StGB unter Rückgriff auf die Rechtsfigur der sogenannten actio libera in causa (Art. 19 Abs. 4 StGB) mit der Begründung aus, dass der An- geklagte die im Zustand der Trunkenheit begangenen Taten hätte voraussehen können (Urk. 33 S. 18 E. 3.2). Der Angeklagte wies in der Tatnacht einen Blutalkoholgehalt von rund 1.6 ‰ auf (Urk. 6 S. A4). Laut der Rechtsprechung ist bei diesem Wert eine Verminderung der Zurechnungsfähigkeit noch nicht zu vermuten (BGE 122 IV 49 E. 1.b; BGE 117 IV 292 E. 2.d). Die im Polizeiprotokoll dokumentierten Merkmale dürften zu- mindest teilweise Nachwirkungen der Kollision darstellen (vgl. Urk. 10/7 S. 13 und Anh. 11) und ändern deshalb nichts an diesem Ergebnis (Urk. 6 S. A2). Ein Strafmilderungsgrund i.S. von Art. 19 StGB liegt demnach nicht vor. 3. Hat der Angeklagte mehrere mit einer gleichartigen Strafe bedrohte Delikte begangen, ist zunächst eine Einsatzstrafe für das schwerste dieser Delikte fest- zusetzen. Das ist vorliegend die fahrlässige Körperverletzung. Der Angeklagte überschritt die zulässige Höchstgeschwindigkeit um mehr als die Hälfte, was die Vorinstanz zurecht als massiv übersetzte Geschwindigkeit be- zeichnete (Urk. 33 S. 17 E. 2.2). Die Kollisionsgeschwindigkeit war entsprechend hoch. Der Geschädigte erlitt infolge der Kollision eine HWS-Distorsion. Es ist be- kannt, dass solche Verletzungen lang anhaltende Folgen haben können. Nur den modernen Sicherheitsstandards im Autobau ist es zu verdanken, dass dieser Un- fall nicht zu schwereren Verletzungen führte. Das objektive Tatverschulden wiegt daher nicht mehr leicht. Subjektiv handelte der Angeklagte in Anbetracht der für die unübersichtliche Ver- kehrssituation klar überhöhten Geschwindigkeit grobfahrlässig. Der erhöhte Blut- alkoholgehalt wird mit der Verurteilung wegen Fahrens in fahrunfähigem Zustand geahndet und wirkt sich daher bei der fahrlässigen Körperverletzung nicht auf das Tatverschulden aus, da ansonsten eine unzulässige Doppelverwertung erfolgen würde. Das subjektive Tatverschulden wiegt folglich noch leicht.</w:t>
      </w:r>
    </w:p>
    <w:p>
      <w:r>
        <w:t>- 14 - In Anbetracht der erwähnten Strafzumessungsfaktoren erscheint eine Einsatzstra- fe von 90 Tagessätzen angemessen. Das objektive Tatverschulden bezüglich des Fahrens in fahrunfähigem Zustand wiegt angesichts des Blutalkoholgehalts von mindestens 1,6 Promille erheblich. Subjektiv ist zu berücksichtigen, dass der Angeklagte als Sommelier im Aussen- dienst tätig ist (Urk. 8 S. 8). Er betont, dass er im Beruf einen verantwortungsbe- wussten Umgang mit dem Alkohol pflege (Urk. 8 S. 4). Die Auswirkungen von Al- kohol auf die Fahrtüchtigkeit sind ihm daher bestens bekannt, was sich in Bezug auf dieses Delikt erschwerend auf sein Tatverschulden auswirkt, wie die Vo- rinstanz zutreffend festgehalten hat (Urk. 33 S. 17 E. 2.1). Der Angeklagte hatte sein Fahrzeug laut eigenen Aussagen an der …strasse abgestellt, bevor er sich von einem Kollegen in dessen Auto an ein Fest nach C._____ fahren liess. Er hät- te sein Auto zwar nach dem Fest an der …strasse stehen lassen und mit dem Zug nach Hause nach D._____ fahren können (Urk. 8 S. 3). Es ist jedoch davon auszugehen, dass er sich die Option, für die Heimfahrt in der Nacht vom Sonntag auf den Montag das Auto zu benützen, bewusst offen hielt. Der Schluss, dass er von Anfang an in Kauf nahm, sein Auto in angetrunkenem Zustand wieder zu be- nützen, ist daher berechtigt. Auch das subjektive Tatverschulden wiegt erheblich. Die Einsatzstrafe ist aus diesem Grund um mindestens 30 Tagessätze zu erhö- hen und zudem mit einer Busse zu verbinden. 4. Der Angeklagte ist nicht vorbestraft (Urk. 34). Laut den Akten weist er eine Verwarnung wegen Überschreitens der Höchstgeschwindigkeit innerorts um 18 km/h im Juni 2009 auf (Urk. 14/1). Gemäss eigenen Aussagen droht ihm zurzeit der Entzug des Führerausweises, nachdem er während des Fahrens ein Mobilte- lefon in der Hand gehalten hatte (Prot. II S. 7 f.). Im Übrigen kann auf die Ausfüh- rungen der Vorinstanz zu seinem Vorleben und seinen persönlichen Verhältnis- sen verwiesen werden. Laut den Aussagen des Angeklagten in der Berufungs- verhandlungen hat sich daran ausser einem höheren monatlichen Einkommen von nun brutto Fr. 6'000.– nichts Wesentliches geändert (Prot. II S. 6-9). Für die Strafzumessung ergeben sich aus diesen persönlichen Faktoren keine Folgerun- gen.</w:t>
      </w:r>
    </w:p>
    <w:p>
      <w:r>
        <w:t>- 15 - 5. Die für die fahrlässige Körperverletzung und das Fahren in fahrunfähigem Zustand zu verhängende Strafe ist angesichts ihrer Höhe als Geldstrafe auszufäl- len (Art. 40 StGB e contrario). Die Grundsätze der Tagessatzbemessung wurden von der Vorinstanz grundsätzlich korrekt wiedergegeben (Urk. 33 S. 19 E. 4.2.1; vgl. auch BGE 134 IV 60). Aufgrund des Verschlechterungsverbots kann die von der Vorinstanz festgesetzte Tagessatzhöhe von Fr. 100.– nicht erhöht werden und ist daher zu bestätigen. 6. Der Angeklagte ist demnach mit einer Geldstrafe von 120 Tagessätzen zu Fr. 100.– zu bestrafen. Die von der Vorinstanz ausgesprochene Busse von Fr. 1'000.– wurde nicht beanstandet und ist zu bestätigen, ebenso die Ersatzfrei- heitsstrafe von 10 Tagen für den Fall, dass der Angeklagte die Busse schuldhaft nicht bezahlt. Einer höheren Strafe steht das Verschlechterungsverbot entgegen (§ 399 StPO/ZH). 7. Der Vollzug einer Geldstrafe kann unter den in Art. 42 StGB genannten Vo- raussetzungen aufgeschoben werden. Diese sind vorliegend erfüllt. Der Vollzug der Geldstrafe ist daher aufzuschieben unter Ansetzung einer Probezeit von zwei Jahren. IV. 1. Der Geschädigte stellte den Antrag, es sei im Grundsatz festzustellen, dass der Angeklagte vollumfänglich schadenersatzpflichtig sei und dass ihm der Ange- klagte eine Genugtuung schulde. Zur Feststellung des Quantitativs seien diese Forderungen auf den Zivilweg zu verweisen (Urk. 21). Die Vorinstanz ist diesem Antrag gefolgt (Urk. 33 S. 20 f.). Der Angeklagte hat den Entscheid über die Zivilansprüche angefochten. Die Schadenersatzforderung sei wegen Mitverschuldens zu reduzieren, und die Ge- nugtuungsforderung sei aus dem selben Grund abzuweisen (Urk. 26 S. 2 Ziff. 2).</w:t>
      </w:r>
    </w:p>
    <w:p>
      <w:r>
        <w:t>- 16 - 2. Gemäss Art. 58 SVG ist der Halter eines Motorfahrzeugs haftbar für Verlet- zungen und andere Schäden, die durch den Betrieb seines Motorfahrzeugs verur- sacht werden. Da der Geschädigte nicht Halter des von ihm gelenkten Fahrzeugs war (Urk. 1 S. 5 oben), kann sich der Angeklagte ihm gegenüber nicht auf Art. 61 SVG berufen, da diese Bestimmung nur die Haftung zwischen Haltern regelt, sondern es kommt Art. 59 SVG zur Anwendung. Dass neben dem Angeklagten grundsätzlich auch der Halter des vom Geschädig- ten gelenkten Fahrzeugs für den Schaden des Geschädigten haftbar ist, wirkt sich im Verhältnis zum Geschädigten nicht aus, da gemäss Art. 61 Abs. 3 SVG mehre- re ersatzpflichtige Halter grundsätzlich solidarisch haften. Da ein Verschulden des Angeklagten aufgrund dieses Verfahrens feststeht, kommt Art. 59 Abs. 1 SVG von vornherein nicht zur Anwendung. Kann der Ange- klagte nachweisen, dass ein Verschulden des Geschädigten beim Unfall mitge- wirkt hat, bestimmt der Richter die Ersatzpflicht gemäss Art. 59 Abs. 2 SVG unter Würdigung aller Umstände. Dabei ist zu beachten, dass der Geschädigte nicht für die Betriebsgefahr des von ihm gelenkten Fahrzeugs haftbar ist, sondern sich nur ein allfälliges Selbstverschulden anrechnen lassen muss, während der Angeklag- te als Halter ausser für sein Verschulden auch für die Betriebsgefahr einstehen muss. 3. Der Angeklagte macht geltend, der Geschädigte sei zu schnell gefahren (Urk. 26 S. 2 Ziff. 2): Wer in einer 30er Zone mit 20 km/h von links auf eine Kreu- zung fahre, den treffe ein Mitverschulden an einer allfälligen Kollision (Prot. I S. 9). Im Zusammenhang mit der rechtlichen Würdigung wurde bereits dargelegt, dass sich der Angeklagte nicht auf sein Vortrittsrecht berufen kann, da der Ge- schädigte die Kreuzung vor ihm erreichte. Die vom Gutachten unter Berücksichtigung der Toleranz ermittelte Maximalge- schwindigkeit von 20 km/h beim Befahren der Kreuzung ist nicht zu beanstanden. Die Auffassung des Angeklagten, der Geschädigte habe zu schnell beschleunigt und sei zu schnell gefahren (Prot. I S. 8 f.; Urk. 26 S. 1 f. und S. 2 Ziff. 2) ist halt- los. Nachdem der Geschädigte entschieden hatte zuzufahren, nützte eine tiefere</w:t>
      </w:r>
    </w:p>
    <w:p>
      <w:r>
        <w:t>- 17 - Geschwindigkeit nichts mehr, sondern erhöhte im Gegenteil sogar die Kollisions- gefahr, da sich dadurch die Verweildauer auf der Kreuzungsfläche verlängerte. Der Angeklagte wirft dem Geschädigten weiter vor, er sei ohne Licht gefahren. Dafür gibt es keine Belege. Der Angeklagte sagt denn auch selber, dass es sich dabei lediglich um eine Mutmassung handle, weil er den Geschädigten nicht ge- sehen habe (Urk. 8 S. 2), was aber auch dadurch erklärbar ist, dass der Ange- klagte vor dem Befahren der Kreuzung nicht nach links schaute, was seiner ers- ten Aussage entspricht (Urk. 4 S. D2) und wovon nach dem Beweisergebnis aus- zugehen ist (vgl. oben II.5). Ein Selbstverschulden des Geschädigten läge allenfalls dann vor, wenn der Ge- schädigte - entgegen seiner eigenen Darstellung - vor der Kreuzung nicht ange- halten hatte und deshalb nicht mehr rechtzeitig reagieren konnte, als der Ange- klagte in seinem Blickfeld auftauchte. Ein allfälliges Selbstverschulden des Ge- schädigten würde allerdings nichts an den weiter oben festgestellten Pflichtverlet- zungen des Angeklagten ändern und hätte keinen Einfluss auf seine Strafbarkeit. Auf adhäsionsweise geltend gemachten Zivilansprüche kommen die zivilrechtli- chen Regeln über die Beweislastverteilung zur Anwendung. Der Angeklagte ist daher als Beklagter behauptungs- und beweispflichtig für Umstände, die er zu seiner Entlastung anführt. Wie oben festgestellt wurde, lässt sich aufgrund der prozessual verwertbaren Beweismittel nicht erstellen, ob der Geschädigte vor dem Befahren der Kreuzung angehalten hatte (vgl. oben II.4). Unter diesen Um- ständen scheitert der Angeklagte mit dem Versuch, sich mit dem Nachweis eines Selbstverschuldens des Geschädigten zu entlasten. 4. Der Angeklagte vermochte nicht darzutun, dass den Geschädigten ein Selbstverschulden trifft, das nach den Grundsätzen von Art. 59 Abs. 2 SVG zu ei- ner Haftungsreduktion führen würde. Der Entscheid der Vorinstanz über die Zi- vilansprüche ist demnach zu bestätigen. Es ist dem Grundsatz nach festzustellen, dass der Angeklagte vollumfänglich schadenersatzpflichtig ist und eine Genugtu- ung schuldet, und im Übrigen sind die Forderungen des Geschädigten auf den Zi- vilweg zu verweisen.</w:t>
      </w:r>
    </w:p>
    <w:p>
      <w:r>
        <w:t>- 18 - V. Der Angeklagte ist mit seiner Berufung nur in Bezug auf die Höhe der Busse er- folgreich und unterliegt mit seinen übrigen Anträgen. Die Kostenauflage der Vo- rinstanz ist zu bestätigen, und die Kosten des Berufungsverfahrens sind vollum- fänglich dem Angeklagten zu auferlegen.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