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SB110196 vom 15. August 2011</w:t>
      </w:r>
    </w:p>
    <w:p>
      <w:r>
        <w:t>ZH Obergericht, 2011-08-15, DE</w:t>
      </w:r>
    </w:p>
    <w:p>
      <w:r>
        <w:rPr>
          <w:b/>
        </w:rPr>
        <w:t xml:space="preserve">Quelle: </w:t>
      </w:r>
      <w:r>
        <w:t>https://mcp.opencaselaw.ch/entscheid/zh_obergericht_SB110196</w:t>
      </w:r>
    </w:p>
    <w:p>
      <w:r>
        <w:t>FR: ZH_OBERGERICHT SB110196 du 15 août 2011</w:t>
      </w:r>
    </w:p>
    <w:p>
      <w:r>
        <w:t>IT: ZH_OBERGERICHT SB110196 del 15 agosto 2011</w:t>
      </w:r>
    </w:p>
    <w:p>
      <w:pPr>
        <w:pStyle w:val="Heading2"/>
      </w:pPr>
      <w:r>
        <w:t>Erwägungen</w:t>
      </w:r>
    </w:p>
    <w:p>
      <w:r>
        <w:rPr>
          <w:b/>
        </w:rPr>
        <w:t>E. 7</w:t>
      </w:r>
    </w:p>
    <w:p>
      <w:r>
        <w:t>Wenn die Vorinstanz die Angeklagte insgesamt - und dem Antrag der Anklage- behörde folgend - mit 3 ½ Jahren Freiheitsstrafe bestraft hat, ist dies daher auch unter Berücksichtigung des Asperationsprinzips (Art. 49 Abs. 1 StGB; vgl. Urteil des Bundesgerichtes 6B_169/2011 vom 8. Juni 2011, E.1.3) geradezu milde und entgegen der Verteidigung offensichtlichst nicht übersetzt. Da einzig die Angeklagte appelliert, ist eine Erhöhung des Strafmasses schon aus prozessualen Gründen ausgeschlossen (Verbot der reformatio in peius; § 399 StPO/ZH).</w:t>
      </w:r>
    </w:p>
    <w:p>
      <w:r>
        <w:rPr>
          <w:b/>
        </w:rPr>
        <w:t>E. 8</w:t>
      </w:r>
    </w:p>
    <w:p>
      <w:r>
        <w:t>Der Anrechnung der erstandenen Untersuchungshaft von 82 Tagen steht nichts entgegen (Art. 51 StGB).</w:t>
      </w:r>
    </w:p>
    <w:p>
      <w:r>
        <w:t>- 12 -</w:t>
      </w:r>
    </w:p>
    <w:p>
      <w:r>
        <w:rPr>
          <w:b/>
        </w:rPr>
        <w:t>E. 9</w:t>
      </w:r>
    </w:p>
    <w:p>
      <w:r>
        <w:t>Bei dieser Strafhöhe steht die Gewährung des (teil-) bedingten Strafvollzugs schon aus objektiven Gründen nicht zur Diskussion (Art. 42 Abs. 1 StGB und Art. 43 Abs. 1 StGB), weshalb sich Ausführungen zur Prognose erübrigen.</w:t>
      </w:r>
    </w:p>
    <w:p>
      <w:r>
        <w:rPr>
          <w:b/>
        </w:rPr>
        <w:t>E. 10</w:t>
      </w:r>
    </w:p>
    <w:p>
      <w:r>
        <w:t>Die vorinstanzliche Sanktionierung der Übertretung des Betäubungsmittel- gesetzes durch die Angeklagte mit einer Busse von Fr. 500.– sowie einer Ersatz- freiheitsstrafe von 5 Tagen wurde durch die Verteidigung nicht beanstandet, ist angemessen und daher zu bestätigen (Urk. 39 E. IV.2.2.4 f. und 2.3.5; Urk. 31; Urk. 54; Art. 19a Ziff. 1 aBetmG; Art. 106 StGB). Im Rahmen der Urteilsredaktion nach durchgeführter Berufungsverhandlung und mündlicher Urteilseröffnung wurde festgestellt, dass die Busse von Fr. 500.– sowie die Ersatzfreiheitsstrafe von 5 Tagen zwar beraten wurden, sie aber versehentlich im eröffneten Urteils- dispositiv nicht enthalten sind. Dies ist mittels vorliegender vollständiger Ausferti- gung des Urteils nachzuholen (§ 166 GVG/ZH). Da die Rechtsmittelfrist erst mit Zustellung der begründeten Ausfertigung beginnt, entsteht für die Parteien kein Nachteil. III. Kosten Die Angeklagte unterliegt im Berufungsverfahren mit ihren Anträgen vollumfäng- lich. Daher sind ihr die Kosten dieses Verfahrens, exklusive der Kosten der amtlichen Verteidigung, aufzuerlegen (§ 396a StPO/ZH). Die Kosten der amtlichen Verteidigung sind aus Billigkeitsgründen und im Lichte der - nicht immer konstanten - bundesgerichtlichen Praxis (BGE 135 I 91 E. 2.4.2.3 = Pra 98 [2009] Nr. 73; Urteil des Bundesgerichtes 6B_587/2008 vom 26. Dezember 2008 E. 3.2) auf die Gerichtskasse zu nehmen.</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