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SB110138 vom 1. Juli 2011</w:t>
      </w:r>
    </w:p>
    <w:p>
      <w:r>
        <w:t>ZH Obergericht, 2011-07-01, DE</w:t>
      </w:r>
    </w:p>
    <w:p>
      <w:r>
        <w:rPr>
          <w:b/>
        </w:rPr>
        <w:t xml:space="preserve">Quelle: </w:t>
      </w:r>
      <w:r>
        <w:t>https://mcp.opencaselaw.ch/entscheid/zh_obergericht_SB110138</w:t>
      </w:r>
    </w:p>
    <w:p>
      <w:r>
        <w:t>FR: ZH_OBERGERICHT SB110138 du 1 juillet 2011</w:t>
      </w:r>
    </w:p>
    <w:p>
      <w:r>
        <w:t>IT: ZH_OBERGERICHT SB110138 del 1 luglio 2011</w:t>
      </w:r>
    </w:p>
    <w:p>
      <w:pPr>
        <w:pStyle w:val="Heading2"/>
      </w:pPr>
      <w:r>
        <w:t>Erwägungen</w:t>
      </w:r>
    </w:p>
    <w:p>
      <w:r>
        <w:rPr>
          <w:b/>
        </w:rPr>
        <w:t>E. 1</w:t>
      </w:r>
    </w:p>
    <w:p>
      <w:r>
        <w:t>Der Angeklagte ist schuldig des fahrlässigen Fahrens trotz Führerausweis- entzug im Sinne von Art. 95 Ziff. 2 SVG in Verbindung mit Art. 100 Ziff. 1 Abs. 1 SVG.</w:t>
      </w:r>
    </w:p>
    <w:p>
      <w:r>
        <w:rPr>
          <w:b/>
        </w:rPr>
        <w:t>E. 2</w:t>
      </w:r>
    </w:p>
    <w:p>
      <w:r>
        <w:t>Der Angeklagte wird bestraft mit einer Busse von Fr. 400.–. Bezahlt der Angeklagte die Busse schuldhaft nicht, so tritt an deren Stelle eine Ersatzfreiheitsstrafe von 4 Tagen.</w:t>
      </w:r>
    </w:p>
    <w:p>
      <w:r>
        <w:rPr>
          <w:b/>
        </w:rPr>
        <w:t>E. 3</w:t>
      </w:r>
    </w:p>
    <w:p>
      <w:r>
        <w:t>Die Gerichtsgebühr wird festgesetzt auf: Fr. 400.– ; die weiteren Auslagen betragen: Fr. 0.– Kosten KAPO Fr. 0.– Untersuchungskosten Fr. 400.– Allfällige weitere Auslagen bleiben vorbehalten.</w:t>
      </w:r>
    </w:p>
    <w:p>
      <w:r>
        <w:rPr>
          <w:b/>
        </w:rPr>
        <w:t>E. 4</w:t>
      </w:r>
    </w:p>
    <w:p>
      <w:r>
        <w:t>Bei der Geldstrafe richtet sich die Höhe des Tagessatzes nach den per- 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w:t>
      </w:r>
    </w:p>
    <w:p>
      <w:r>
        <w:t>- 8 -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Der Angeklagte erhält eine monatliche IV-Rente von Fr. 1'700.-- und Ergän- zungsleistungen in der Höhe von Fr. 2'000.-- für sich und seine Ehefrau, die nicht erwerbstätig ist. Zusätzlich verdient er mit seiner Firma ca. Fr. 200.-- pro Monat. Die Krankenkassenprämien betragen monatlich Fr. 700.--, sein Anteil beträgt ca. Fr. 400.--. Er verfügt über kein Vermögen und hat Schulden in der Höhe von ca. Fr. 7'000.--. Die Steuern betragen jährlich ca. Fr. 1'000.-- (Prot. I S. 11 ff., Prot. II S. 4 ff.). Angesichts dieser finanziellen Verhältnisse des Angeklagten erweist sich ein Tagessatz in der Höhe von Fr. 60.-- als angemessen.</w:t>
      </w:r>
    </w:p>
    <w:p>
      <w:r>
        <w:rPr>
          <w:b/>
        </w:rPr>
        <w:t>E. 5</w:t>
      </w:r>
    </w:p>
    <w:p>
      <w:r>
        <w:t>Zusammenfassend ist der Angeklagte mit einer Geldstrafe von 20 Ta- gessätzen zu Fr. 60.-- zu bestrafen.</w:t>
      </w:r>
    </w:p>
    <w:p>
      <w:r>
        <w:rPr>
          <w:b/>
        </w:rPr>
        <w:t>E. 6</w:t>
      </w:r>
    </w:p>
    <w:p>
      <w:r>
        <w:t>Die Voraussetzungen für die Gewährung des bedingten Strafvollzuges gemäss Art. 42 Abs. 1 StGB sind gegeben. Angesichts der einschlägigen Vorstra- fe aus dem Jahre 2003 ist die Probezeit auf drei Jahre festzusetzen. IV. Im Berufungsverfahren erfolgt die Auflage der Kosten und die Zusprechung einer Entschädigung in der Regel im Verhältnis von Obsiegen und Unterliegen der Verfahrensbeteiligten (§ 396a ZH-StPO). Die Staatsanwaltschaft obsiegt mit ih- rem Antrag auf Änderung der Sanktionsart. Die fehlerhafte Wahl der Sanktionsart durch die Vorinstanz wurde jedoch nicht durch den Angeklagten verschuldet, weshalb die Gerichtsgebühr des Berufungsverfahrens ausser Ansatz zu fallen hat. Da der Angeklagte an der Berufungsverhandlung nicht anwaltlich vertreten war (Prot. II S. 3), ist ihm keine Prozessentschädigung zuzusprechen.</w:t>
      </w:r>
    </w:p>
    <w:p>
      <w:r>
        <w:t>- 9 -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