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SB110042 vom 16. November 2011</w:t>
      </w:r>
    </w:p>
    <w:p>
      <w:r>
        <w:t>ZH Obergericht, 2011-11-16, DE</w:t>
      </w:r>
    </w:p>
    <w:p>
      <w:r>
        <w:rPr>
          <w:b/>
        </w:rPr>
        <w:t xml:space="preserve">Quelle: </w:t>
      </w:r>
      <w:r>
        <w:t>https://mcp.opencaselaw.ch/entscheid/zh_obergericht_SB110042</w:t>
      </w:r>
    </w:p>
    <w:p>
      <w:r>
        <w:t>FR: ZH_OBERGERICHT SB110042 du 16 novembre 2011</w:t>
      </w:r>
    </w:p>
    <w:p>
      <w:r>
        <w:t>IT: ZH_OBERGERICHT SB110042 del 16 novembre 2011</w:t>
      </w:r>
    </w:p>
    <w:p>
      <w:pPr>
        <w:pStyle w:val="Heading2"/>
      </w:pPr>
      <w:r>
        <w:t>Erwägungen</w:t>
      </w:r>
    </w:p>
    <w:p>
      <w:r>
        <w:rPr>
          <w:b/>
        </w:rPr>
        <w:t>E. 2</w:t>
      </w:r>
    </w:p>
    <w:p>
      <w:r>
        <w:t>Im aufgehobenen Entscheid vom 27. Januar 2010 hat die Kammer zusammen- gefasst erwogen, die Vorinstanz habe ausgeführt, es sei aufgrund der vorliegen- den Beweismittel nicht klar, ob die Berechtigten an den massgeblichen Kommissionszahlungen die Endkunden der G._____, eine Bank oder andere Drit- te gewesen seien (Urk. 63 S. 7 mit Verweis auf Urk. 47 S. 17). Jedenfalls sei die Behauptung des Beschuldigten und der Verteidigung, wonach dem Beschuldigten durch die G1._____ direkte Kommissionen versprochen worden seien und er da- her einen berechtigten Anspruch auf die 11 inkriminierten Zahlungen gehabt ha- be, aufgrund der vorliegenden Beweismittel widerlegt. Mit der Vorinstanz (und</w:t>
      </w:r>
    </w:p>
    <w:p>
      <w:r>
        <w:t>- 8 - auch von der Anklagebehörde wie der G._____ anerkannt) könne nicht mit Si- cherheit gesagt werden, wer der Berechtigte an den Kommissionszahlungen der G1._____ gewesen sei. Mögliche Berechtigte seien die G._____ oder (in concreto wahrscheinlicher) die vom Beschuldigten betreuten Endkunden der G._____ ge- wesen. Letzterenfalls sei der G._____ aufgrund drohender Kompensations- Forderungen der Endkunden aus dem Bank-Kunden-Vertragsverhältnis lediglich – aber immerhin – ein indirekter, mittelbarer und zivilrechtlich relevanter Schaden entstanden. Der Anklagesachverhalt sei zusammenfassend dahingehend erstellt, dass der Beschuldigte als Angestellter der G._____ elf Kommissionszahlungen, die die G1._____ im Zusammenhang mit der Platzierung ihrer strukturierten Pro- dukte ausbezahlt habe, unberechtigt und zu seiner eigenen Bereicherung auf ihm persönlich zuzurechnende Konten habe überweisen lassen, statt diese den tat- sächlich Berechtigten, mutmasslich den durch ihn betreuten Endkunden der G._____, zukommen zu lassen. Gemäss vorliegendem Beweisresultat sei der Anklagesachverhalt dahingehend zu präzisieren respektive zu korrigieren, dass die strukturierten Produkte der G1._____, die die Basis für die Kommissionszah- lungen bildeten, nicht durch die G3._____ vertrieben worden seien und die G1._____ entsprechend nicht der G3._____ Kommissionen bezahlt habe, son- dern dass die G3._____ lediglich als Überweisungsstelle der Zahlungen der G1._____ habe fungieren sollen zwecks Weiterleitung an den/die Berechtigten gemäss den Zahlungsvorgaben des Beschuldigten. Der Ausführung der Anklage- behörde, der Beschuldigte habe "anderthalb Millionen heimlich und mit schlech- tem Gewissen eingesackt", sei uneingeschränkt zuzustimmen (Urk. 63 S. 14 ff.). Der Beschuldigte habe erstelltermassen die Kunden der G._____ geschädigt, in- dem er diesen ihnen als Rabatt zustehende Kommissionen vorenthalten und die- se Kommissionen vielmehr zur eigenen Bereicherung selber eingestrichen habe. Den betroffenen Bankkunden sei daraus aus dem Bank-Kunden-Verhältnis ein obligatorischer Anspruch gegen die G._____ auf Restitution des durch den Be- schuldigten als Bankangestellten verursachten Schadens entstanden. Dabei habe es sich um einen rein zivilrechtlichen Haftungsanspruch der Kunden aus Vertrag gehandelt. Der Beschuldigte habe durch sein Verhalten nicht die G._____ direkt geschädigt, sondern vielmehr deren Kunden. Bei der G._____ sei lediglich aber</w:t>
      </w:r>
    </w:p>
    <w:p>
      <w:r>
        <w:t>- 9 - immerhin ein indirekter Schaden als Folge ihrer vertraglichen Haftung gegenüber den geprellten Bankkunden eingetreten. Ein indirekter Schaden der genannten Art vermöge aber den objektiven Tatbestand von Art. 158 Ziff. 1 Abs. 1 StGB nicht zu erfüllen. Bei der Argumentation der Staatsanwaltschaft in ihrer Berufungsantwort, wonach zum Zeitpunkt der vorliegend inkriminierten Überweisungen "der Be- schuldigte, seine Vorgesetzten sowie das ganze System der G._____ sowie das- jenige der … Banken insgesamt davon ausgegangen seien, dass Retrozessionen der Bank zustünden", handle es sich um ein nachgeschobenes Konstrukt. Entge- gen dieser – neuen – Darstellung der Anklagebehörde sei gemäss dem vorlie- genden Beweisergebnis ohnehin erstellt, dass die die Zahlungen auslösenden Mitarbeiter der G3._____ I._____ und J._____ davon ausgegangen seien, die Kommissionen würden an die Kunden gehen; I._____ habe in der Untersuchung ausgesagt, sogar ein externer Vermögensverwalter müsse mit dem Kunden klä- ren, wer eine Up-Front-Zahlung, d.h. einen Rabatt des Produktevertreibers, erhal- te; es handle sich aber grundsätzlich um einen Rabatt an den Kunden. Eine Wei- terleitung an die G._____ habe somit auch für die G3._____ nie zur Diskussion gestanden. Zusammenfassend habe der Beschuldigte der G._____ keinen direkten Schaden im Sinne des objektiven Tatbestandes von Art. 158 StGB verursacht, gegenüber der G._____ keine im Sinne der genannten Bestimmung relevante Pflichtverlet- zung begangen und betreffend das Vermögen der G._____ auch nicht die ver- langte Geschäftsführerstellung aufgewiesen. Da der Beschuldigte demnach den objektiven Tatbestand von Art. 158 StGB in mehrfacher Hinsicht nicht erfüllt habe, sei er vom eingeklagten Tatvorwurf freizusprechen. Offen bleibe allerdings die Frage, weshalb die Anklagebehörde – einzig – hin- sichtlich des Tatvorwurfs der ungetreuen Geschäftsbesorgung zulasten der G._____ untersucht und Anklage erhoben habe: Der Beschuldigte habe vor dem Hintergrund von BGE 132 III 460 offensichtlich Gelder, die für die Kunden der G._____ gedacht und ihm anvertraut gewesen seien, entgegen genommen und für sich behalten, was zumindest prima vista den Verdacht einer Veruntreuung</w:t>
      </w:r>
    </w:p>
    <w:p>
      <w:r>
        <w:t>- 10 - oder einer ungetreuen Geschäftsbesorgung zulasten der Kunden der G._____ aufkommen lasse (Urk. 63 S. 17 ff.).</w:t>
      </w:r>
    </w:p>
    <w:p>
      <w:r>
        <w:rPr>
          <w:b/>
        </w:rPr>
        <w:t>E. 3</w:t>
      </w:r>
    </w:p>
    <w:p>
      <w:r>
        <w:t>In seinem Urteil vom 13. Januar 2011 hat das Bundesgericht zusammengefasst erwogen, die Beweiswürdigung der Kammer im aufgehobenen Urteil sei nicht schlechterdings unhaltbar, die Sachverhaltsfeststellung der Kammer werde durch die Vorbringen der beschwerdeführenden Anklagebehörde nicht in Frage gestellt, weshalb diese für das Bundesgericht verbindlich sei (Urk. 73 S. 5 Ziff. 2.6. und 2.7.). Der Beschuldigte habe somit gemäss den verbindlichen Sachverhaltsfest- stellungen der Kammer Gelder der Kunden der G._____ verwaltet und diesen Kunden verschiedene Gelder aus Retrozessionen nicht ausbezahlt, um diese stattdessen auf eigene Konten zu überweisen (Urk. 73 S. 8 f. Ziff. 3.4.2.). Entge- gen der Kammer habe der Beschuldigte dabei als interner Vermögensverwalter der G._____ gehandelt und gegen seine arbeitsrechtliche Treuepflicht gegenüber der G._____ verstossen (Urk. 73 S. 9 Ziff. 3.4.2. und S. 11 Ziff. 3.4.6.). Entgegen seiner vorherigen – und vorstehend zitierten – Erwägung, das Bundes- gericht sei an die nicht willkürliche und damit verbindliche Sachverhaltsfeststel- lung der Kammer gebunden, wonach der Beschuldigte Gelder aus Retrozessio- nen nicht ausbezahlt habe (Urk. 73 S. 8f. Ziff. 3.4.2.), erwog das Bundesgericht aber in der Folge, es habe sich bei den vom Beschuldigten eingestrichenen Zah- lungen nicht um Retrozessionen, sondern um Bestandespflegekommissionen o- der Vertriebsentschädigungen gehandelt, welche der Produkteanbieter (G1._____) der Depotbank (G._____) gestützt auf einen zwischen diesen Partei- en bestehenden Vertriebsvertrag zur Abgeltung von Dienstleistungen geschuldet habe (Urk. 73 S. 10 f. Ziff. 3.4.5.). Die elf Kommissionszahlungen hätten der G._____ im Zusammenhang mit der Platzierung der G1._____-Produkte zuge- standen, weshalb der Beschuldigte die G._____ direkt geschädigt habe. Der Be- schuldigte habe gegen seine arbeitsrechtliche Treuepflicht verstossen, sein Han- deln habe sich gegen die Vermögensinteressen des Geschäftsherrn (G._____) gerichtet. Die Kammer habe Bundesrecht verletzt, als sie den Beschuldigten vom Vorwurf der mehrfachen qualifizierten ungetreuen Geschäftsbesorgung im Sinne von Art. 158 Ziff. 1 StGB freigesprochen habe (Urk. 73 S. 11 Ziff. 3.4.6.).</w:t>
      </w:r>
    </w:p>
    <w:p>
      <w:r>
        <w:t>- 11 -</w:t>
      </w:r>
    </w:p>
    <w:p>
      <w:r>
        <w:rPr>
          <w:b/>
        </w:rPr>
        <w:t>E. 4</w:t>
      </w:r>
    </w:p>
    <w:p>
      <w:r>
        <w:t>In ihrer schriftlichen Berufungsbegründung vom 14. Juni 2011 führt die Vertei- digung aus, das Bundesgericht sei einerseits ausdrücklich von den Sachverhalts- feststellungen der Kammer im aufgehobenen Entscheid ausgegangen und sei auf die Rügen der Anklagebehörde an den tatsächlichen Feststellungen der Kammer nicht eingetreten. Gleichwohl sei das Bundesgericht in der rechtlichen Würdigung vom Vorliegen eines Vertriebsvertrags zwischen der G._____ und der G1._____ ausgegangen, gestützt auf welchen "von der G._____" (recte: von der G1._____ an die G._____) Bestandespflegekommissionen ausbezahlt worden seien. Eine solche Tatsachenfeststellung habe die Kammer jedoch gerade nicht getroffen; diese sei von transaktionsbezogenen Kommissionszahlungen der G1._____ aus- gegangen. Von einem Vertriebsverhältnis und der Bezahlung einer Vertriebsent- schädigung oder Bestandespflegekommission sei nie die Rede gewesen; die Kammer sei nicht von einem konkreten Vertriebsvertrag zwischen der G1._____ und der G._____ ausgegangen, einen solchen habe es nie gegeben und ein sol- cher sei auch nicht Gegenstand der Anklage der Staatsanwaltschaft (Urk. 84 S. 7 f.). Um zu belegen, dass kein Vertriebsvertrag zwischen der G1._____ und der G._____ vorgelegen habe, offeriert die Verteidigung diverse ehemalige Mitarbei- ter der G._____ als Zeugen sowie vorab eine entsprechende schriftliche Erklä- rung eines ehemaligen Mitarbeiters der G._____ (Urk. 84 S. 11 ff. und Urk. 85). Weiter macht die Verteidigung Ausführungen, weshalb es sich bei den fraglichen Zahlungen der G1._____ um transaktionsbezogene Kommissionen und nicht um Bestandspflegekommissionen gehandelt habe (Urk. 84 S. 14-18). Schliesslich ar- gumentiert die Verteidigung – zusammengefasst –, "da für den Beschuldigten zwingend festgestanden habe, dass der G._____ unter keinen Titeln ein irgend- wie gearteter Anspruch an den Zahlungen der G1._____ zugestanden habe", ha- be beim Beschuldigten in subjektiver Hinsicht Wissen und Willen bezüglich einer ungetreuen Geschäftsbesorgung zum Nachteil der G._____ gefehlt (Urk. 84 S. 19-23).</w:t>
      </w:r>
    </w:p>
    <w:p>
      <w:r>
        <w:rPr>
          <w:b/>
        </w:rPr>
        <w:t>E. 5</w:t>
      </w:r>
    </w:p>
    <w:p>
      <w:r>
        <w:t>Die im bundesrechtlichen Beschwerdeverfahren obsiegende Anklagebehörde hat wie vorstehend erwähnt eine schriftliche Beantwortung der Berufung des Be- schuldigten unterlassen. Sie hat nicht nur zur seitens der Verteidigung zurecht als Novum bezeichneten neuen Ausgangslage in tatsächlicher Hinsicht, wie sie sich</w:t>
      </w:r>
    </w:p>
    <w:p>
      <w:r>
        <w:t>- 12 - aus den bundesgerichtlichen Erwägungen im Rückweisungsentscheid ergibt, keinerlei Stellung bezogen, sie hat es nicht einmal für nötig erachtet, die entspre- chenden Vorbringen der Verteidigung in deren Berufungsbegründungsschrift zu bestreiten oder zu kommentieren (Urk. 90).</w:t>
      </w:r>
    </w:p>
    <w:p>
      <w:r>
        <w:rPr>
          <w:b/>
        </w:rPr>
        <w:t>E. 6</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 tet wird.) Aufgrund dieser Bindungswirkung ist es den nochmals mit der Sache be- fassten Gerichten wie den Parteien verwehrt, der Überprüfung einen anderen als den bisherigen Sachverhalt zu unterstellen oder die Sache unter rechtlichen Ge- sichtspunkten zu prüfen, die im Rückweisungsentscheid ausdrücklich abgelehnt oder überhaupt nicht in Erwägung gezogen worden sind (BGE 135 III 334 E. 2 und E. 2.1 S. 335 f. mit Hinweisen; vgl. hierzu auch Urteile 6B_1013/2010 vom 17. Mai 2011 E. 2.1; und 6B_754/2010 vom 4. April 2011 E. 2.2.1). Die Bin- 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ungeschriebe- nen Bundesrecht, da diese Bestimmung wegen ihrer Selbstverständlichkeit nicht ins neue Bundesgerichtsgesetz überführt wurde (BGE 135 III 334 E. 2.1; siehe Urteil 1B_183/2010 vom 14. Juli 2010 E. 2; vgl. auch Botschaft vom 28. Februar 2001 zur Totalrevision der Bundesrechtspflege, BBl 2001 IV 4346 Ziff. 4.1.4.5; vgl. Urteil 6B_372/2011 vom 12. Juli 2011).</w:t>
      </w:r>
    </w:p>
    <w:p>
      <w:r>
        <w:rPr>
          <w:b/>
        </w:rPr>
        <w:t>E. 7</w:t>
      </w:r>
    </w:p>
    <w:p>
      <w:r>
        <w:t>Wenn die Verteidigung im vorliegenden, zweiten Berufungsverfahren in ihrer schriftlichen Berufungsbegründung zusammengefasst argumentiert, erstens ent- spreche ein Vertriebsverhältnis zwischen der G1._____ und der G._____, wie das Bundesgericht es für gegeben hält, nicht den Tatsachen, zweitens sei ein solches auch nicht Gegenstand der Anklageschrift der Anklagebehörde und drittens habe es sich bei den fraglichen Zahlungen um transaktionsbezogene Kommissionen und nicht um Bestandspflegekommissionen gehandelt, widerspricht sie damit den</w:t>
      </w:r>
    </w:p>
    <w:p>
      <w:r>
        <w:t>- 13 - gemäss obigen Erwägungen für die Kammer verpflichtenden Vorgaben im bun- desgerichtlichen Rückweisungsentscheid und ist damit nicht zu hören unabhängig davon, ob ihre Argumentation zu überzeugen vermag. Das Bundesgericht hat keinen Zweifel daran gelassen, dass der Beschuldigte durch sein Vorgehen mehr- fach den objektiven Tatbestand von Art. 158 Ziff. 1 StGB erfüllt habe. Angesichts dessen sind die Beweisergänzungsanträge des Beschuldigten abzu- weisen (Urk. 84 S. 2 f.).</w:t>
      </w:r>
    </w:p>
    <w:p>
      <w:r>
        <w:rPr>
          <w:b/>
        </w:rPr>
        <w:t>E. 8</w:t>
      </w:r>
    </w:p>
    <w:p>
      <w:r>
        <w:t>Dem Beschuldigten wird für die Aufwendungen seines erbetenen Verteidi- gers im zweiten Berufungsverfahren eine Prozessentschädigung von Fr. 3'000.– aus der Gerichtskasse zugesprochen.</w:t>
      </w:r>
    </w:p>
    <w:p>
      <w:r>
        <w:rPr>
          <w:b/>
        </w:rPr>
        <w:t>E. 9</w:t>
      </w:r>
    </w:p>
    <w:p>
      <w:r>
        <w:t>Schriftliche Mitteilung in vollständiger Ausfertigung an − die Verteidigung im Doppel für sich und zuhanden des Beschuldigten − die Staatsanwaltschaft III des Kantons Zürich − die Geschädigte B._____ AG, z.Hd. RA Y._____, … [Adresse] sowie nach Ablauf der Rechtsmittelfrist bzw. Erledigung allfälliger Rechtsmit- tel an − die Vorinstanz − die C._____ AG, … [Adresse] (Ref. Nr. …), im Dispositivauszug des Beschlusses gem. Ziff. 1, hiervon Ziff. 1 des vorinstanzlichen Entschei- des − die E._____ AG, [Adresse] (Kunden Nr. …), im Dispositivauszug des Beschlusses gem. Ziff. 1, hiervon Ziff. 2 des vorinstanzlichen Entschei- des − das Fürstliche Landgericht, Fürstentum Liechtenstein, Spaniagasse 1, 9409 Vaduz (Nr. …), im Dispositivauszug des Beschlusses gem. Ziff. 1, hiervon Ziff. 3 des vorinstanzlichen Entscheides − die Koordinationsstelle VOSTRA mit Formular A</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- 21 - __________________________________ OBERGERICHT DES KANTONS ZÜRICH I. Strafkammer Der Vorsitzende: Die Gerichtsschreiberin: Oberrichter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