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RZ230005 vom 10. März 2023</w:t>
      </w:r>
    </w:p>
    <w:p>
      <w:r>
        <w:t>ZH Obergericht, 2023-03-10, DE</w:t>
      </w:r>
    </w:p>
    <w:p>
      <w:r>
        <w:rPr>
          <w:b/>
        </w:rPr>
        <w:t xml:space="preserve">Quelle: </w:t>
      </w:r>
      <w:r>
        <w:t>https://mcp.opencaselaw.ch/entscheid/zh_obergericht_RZ230005</w:t>
      </w:r>
    </w:p>
    <w:p>
      <w:r>
        <w:t>FR: ZH_OBERGERICHT RZ230005 du 10 mars 2023</w:t>
      </w:r>
    </w:p>
    <w:p>
      <w:r>
        <w:t>IT: ZH_OBERGERICHT RZ230005 del 10 marzo 2023</w:t>
      </w:r>
    </w:p>
    <w:p>
      <w:pPr>
        <w:pStyle w:val="Heading2"/>
      </w:pPr>
      <w:r>
        <w:t>Erwägungen</w:t>
      </w:r>
    </w:p>
    <w:p>
      <w:r>
        <w:rPr>
          <w:b/>
        </w:rPr>
        <w:t>E. 3</w:t>
      </w:r>
    </w:p>
    <w:p>
      <w:r>
        <w:t>Der Beschwerdeführer hat kein Gesuch um Gewährung der unentgeltlichen Rechtspflege für das Beschwerdeverfahren gestellt (vgl. Urk. 1). Ein solches wäre allerdings ohnehin abzuweisen gewesen, denn der Anspruch auf unentgeltliche Rechtspflege setzt neben der Mittellosigkeit kumulativ voraus, dass die Rechts- begehren nicht aussichtslos erscheinen (Art. 117 lit. b ZPO); die vorliegende Beschwerde ist jedoch als aussichtslos anzusehen (vgl. vorstehende Erwägun- gen). 4.1. Ausgehend von einem Streitwert von Fr. 5'218.20 ist die zweitinstanzliche Entscheidgebühr in Anwendung von § 12 Abs. 1 und 2 GebV OG in Verbindung mit § 4 Abs. 1 und 2 sowie § 8 Abs. 1 GebV OG auf Fr. 300.– festzusetzen. Diese Kosten sind ausgangsgemäss dem Beschwerdeführer aufzuerlegen (Art. 106 Abs. 1 ZPO) 4.2. Für das Beschwerdeverfahren sind keine Parteientschädigungen zuzuspre- chen, dem Beschwerdeführer zufolge seines Unterliegens (Art. 106 Abs. 1 ZPO), dem Beschwerdegegner und der Verfahrensbeteiligten mangels relevanter Um- 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