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RZ230003 vom 1. März 2023</w:t>
      </w:r>
    </w:p>
    <w:p>
      <w:r>
        <w:t>ZH Obergericht, 2023-03-01, DE</w:t>
      </w:r>
    </w:p>
    <w:p>
      <w:r>
        <w:rPr>
          <w:b/>
        </w:rPr>
        <w:t xml:space="preserve">Quelle: </w:t>
      </w:r>
      <w:r>
        <w:t>https://mcp.opencaselaw.ch/entscheid/zh_obergericht_RZ230003</w:t>
      </w:r>
    </w:p>
    <w:p>
      <w:r>
        <w:t>FR: ZH_OBERGERICHT RZ230003 du 1 mars 2023</w:t>
      </w:r>
    </w:p>
    <w:p>
      <w:r>
        <w:t>IT: ZH_OBERGERICHT RZ230003 del 1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Parteien stehen vor Vorinstanz seit dem 26. September 2018 in ei- nem Verfahren betreffend Kinderunterhaltsbeiträge, Obhut und Betreuungsrege- lung. Mit Eingabe vom 26. November 2021 stellte die Kindesvertreterin des Klä- gers 1 folgende superprovisorischen Anträge (Urk. 4/405): " 1. Es sei der Kontakt zwischen B._____ und dem Kindsvater neu zu regeln.</w:t>
      </w:r>
    </w:p>
    <w:p>
      <w:r>
        <w:rPr>
          <w:b/>
        </w:rPr>
        <w:t>E. 2</w:t>
      </w:r>
    </w:p>
    <w:p>
      <w:r>
        <w:t>Mit der Zustellung der Verfügung vom 17. Januar 2023 an die Parteien ist die Rechtsverzögerungsbeschwerde des Beklagten gegenstandslos geworden. Das Beschwerdeverfahren ist dementsprechend abzuschreiben (Art. 242 ZPO).</w:t>
      </w:r>
    </w:p>
    <w:p>
      <w:r>
        <w:rPr>
          <w:b/>
        </w:rPr>
        <w:t>E. 3</w:t>
      </w:r>
    </w:p>
    <w:p>
      <w:r>
        <w:t>Wird das Verfahren als gegenstandslos abgeschrieben und sieht das Ge- setz nichts anderes vor, kann das Gericht von den Verteilungsgrundsätzen ab- weichen und die Prozesskosten nach Ermessen verteilen (Art. 107 Abs. 1 lit. e ZPO). Es ist davon auszugehen, dass die Rechtsverzögerungsbeschwerde des Beklagten klarerweise gutzuheissen gewesen wäre, da die Vorinstanz – wie in vorstehender Erwägung 1. a) aufgezeigt – in einem strittigen Familienrechtsver- fahren, in welchem in den Jahren 2021 und 2022 hauptsächlich der persönliche Kontakt zwischen dem Kläger 1 und dem Beklagten im Zentrum stand, über ein Jahr – abgesehen von einer Zustellung von Urkunden zur Kenntnisnahme Ende April 2022 – vollständig untätig geblieben ist. Dies ohne ersichtlichen Grund. Be- treffend die Kosten- und Entschädigungsfolgen des Beschwerdeverfahrens gilt demnach der Beschwerdegegner bzw. der Kanton Zürich als unterliegende Partei (vgl. BGE 139 III 471 E. 3.3; BGE 140 III 501 E. 4.1.1).</w:t>
      </w:r>
    </w:p>
    <w:p>
      <w:r>
        <w:t>- 5 - Dem Kanton Zürich werden in Zivilverfahren keine Gerichtskosten auferlegt (Art. 116 Abs. 1 ZPO i.V.m. § 200 lit. a GOG). Entsprechend sind keine Kosten zu erheben. Hingegen ist der Beklagte für das Beschwerdeverfahren in Anwendung von § 5 Abs. 1 und § 11 Abs. 1 i.V.m. § 13 Abs. 1 und 4 AnwGebV mit Fr. 902.30 zuzüglich Mehrwertsteuer (7,7 %) aus der Gerichtskasse zu entschädigen (BGE 142 III 110 E. 3.2).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