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RZ220009 vom 21. Oktober 2022</w:t>
      </w:r>
    </w:p>
    <w:p>
      <w:r>
        <w:t>ZH Obergericht, 2022-10-21, DE</w:t>
      </w:r>
    </w:p>
    <w:p>
      <w:r>
        <w:rPr>
          <w:b/>
        </w:rPr>
        <w:t xml:space="preserve">Quelle: </w:t>
      </w:r>
      <w:r>
        <w:t>https://mcp.opencaselaw.ch/entscheid/zh_obergericht_RZ220009</w:t>
      </w:r>
    </w:p>
    <w:p>
      <w:r>
        <w:t>FR: ZH_OBERGERICHT RZ220009 du 21 octobre 2022</w:t>
      </w:r>
    </w:p>
    <w:p>
      <w:r>
        <w:t>IT: ZH_OBERGERICHT RZ220009 del 21 ottobre 2022</w:t>
      </w:r>
    </w:p>
    <w:p>
      <w:pPr>
        <w:pStyle w:val="Heading2"/>
      </w:pPr>
      <w:r>
        <w:t>Erwägungen</w:t>
      </w:r>
    </w:p>
    <w:p>
      <w:r>
        <w:rPr>
          <w:b/>
        </w:rPr>
        <w:t>E. 29</w:t>
      </w:r>
    </w:p>
    <w:p>
      <w:r>
        <w:t>Juli 2022 laufenden Abholfrist nicht abgeholt (vgl. Urk. 23). Aufgrund des be- stehenden Prozessrechtsverhältnisses – der Kläger hatte das Verfahren selbst eingeleitet und musste daher mit Zustellungen des Gerichts rechnen – gilt ihm der Entscheid als am siebten Tag nach dem ersten erfolglosen Zustellversuch, mithin</w:t>
      </w:r>
    </w:p>
    <w:p>
      <w:r>
        <w:t>- 3 - am 29. Juli 2022, zugestellt (Art. 138 Abs. 3 lit. a ZPO). Die Beschwerdefrist des Klägers lief demzufolge am 8. August 2022 ab (Art. 142 ZPO). Daran ändert nichts, dass die Vorinstanz dem Kläger ihren Entscheid mit Schreiben vom 17. August 2022 nochmals zusandte, zumal sie ihn dabei ausdrücklich darauf hinwies, dass die erneute Zustellung keine neue (Rechtsmittel-) Frist auslöse (Urk. 24). Die Beschwerde wurde erst am 23. August 2022 der Post übergeben und ging am 24. August 2022 bei der beschliessenden Kammer ein (vgl. den im Verfahren LZ220031-O an Urk. 25 angehefteten Briefumschlag). Sie erweist sich daher als verspätet, weshalb auf die Beschwerde nicht einzutreten ist. 3. Der Kläger ersucht um Gewährung der unentgeltlichen Rechtspflege für das zweitinstanzliche Verfahren (Urk. 25 S. 2). Dieses Gesuch ist jedoch zufolge Aus- sichtslosigkeit der Beschwerde (vgl. vorstehende Erwägungen) abzuweisen (Art. 117 lit. b ZPO). 4.1. Die zweitinstanzliche Entscheidgebühr ist in Anwendung von § 9 in Verbin- dung mit § 12 GebV OG auf Fr. 200.– festzusetzen und ausgangsgemäss dem Kläger aufzuerlegen (Art. 106 Abs. 1 ZPO). 4.2. Für das Beschwerdeverfahren sind keine Parteientschädigungen zuzuspre- chen, dem Kläger zufolge seines Unterliegens (Art. 106 Abs. 1 ZPO), dem Be- schwerdegegner und dem Verfahrensbeteiligten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