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RZ220006 vom 1. Juli 2022</w:t>
      </w:r>
    </w:p>
    <w:p>
      <w:r>
        <w:t>ZH Obergericht, 2022-07-01, DE</w:t>
      </w:r>
    </w:p>
    <w:p>
      <w:r>
        <w:rPr>
          <w:b/>
        </w:rPr>
        <w:t xml:space="preserve">Quelle: </w:t>
      </w:r>
      <w:r>
        <w:t>https://mcp.opencaselaw.ch/entscheid/zh_obergericht_RZ220006</w:t>
      </w:r>
    </w:p>
    <w:p>
      <w:r>
        <w:t>FR: ZH_OBERGERICHT RZ220006 du 1 juillet 2022</w:t>
      </w:r>
    </w:p>
    <w:p>
      <w:r>
        <w:t>IT: ZH_OBERGERICHT RZ220006 del 1 luglio 2022</w:t>
      </w:r>
    </w:p>
    <w:p>
      <w:pPr>
        <w:pStyle w:val="Heading2"/>
      </w:pPr>
      <w:r>
        <w:t>Erwägungen</w:t>
      </w:r>
    </w:p>
    <w:p>
      <w:r>
        <w:rPr>
          <w:b/>
        </w:rPr>
        <w:t>E. 1</w:t>
      </w:r>
    </w:p>
    <w:p>
      <w:r>
        <w:t>a) Die Klägerin/Beschwerdegegnerin 3 (fortan Klägerin 3) und der Beklag- te/Beschwerdeführer (fortan Beklagter) sind die nicht verheirateten Eltern der Klä- ger/Beschwerdegegner 1 und 2 (fortan Kläger 1 und 2). Mit Eingabe vom 9. März 2017 machten die Kläger 1 und 2 bei der Vorinstanz eine Klage betreffend Unter- haltsbeiträge sowie weitere Kinderbelange anhängig (Urk. 6/1). Mit Verfügung vom 15. Juni 2022 entschied die Vorinstanz das Folgende (Urk. 6/101 S. 4 = Urk. 2 S. 4): "1. Das kantonale Steueramt Zürich wird aufgefordert, innert 20 Tagen ab Zustellung dieser Verfügung, dem Gericht Kopien der vollstän- digen Steuererklärungen (inklusive sämtlichen Beiblättern) des Be- klagten A._____ der Jahre 2018 bis 2020 sowie, falls bereits vor- handen, des Jahres 2021 einzureichen.</w:t>
      </w:r>
    </w:p>
    <w:p>
      <w:r>
        <w:rPr>
          <w:b/>
        </w:rPr>
        <w:t>E. 2</w:t>
      </w:r>
    </w:p>
    <w:p>
      <w:r>
        <w:t>Hält sich das kantonale Steueramt Zürich für berechtigt, die Aus- künfte resp. die Herausgabe einer dieser Urkunden zu verweigern (Art. 165 ff. ZPO), sind die Gründe hierfür innert der gleichen Frist dem Gericht schriftlich mitzuteilen.</w:t>
      </w:r>
    </w:p>
    <w:p>
      <w:r>
        <w:rPr>
          <w:b/>
        </w:rPr>
        <w:t>E. 3</w:t>
      </w:r>
    </w:p>
    <w:p>
      <w:r>
        <w:t>Das kantonale Steueramt Zürich wird darauf aufmerksam gemacht, dass bei unberechtigter Weigerung eine Ordnungsbusse bis zu Fr. 1'000.–, eine Strafandrohung nach Art. 292 StGB ausgespro- chen oder die zwangsweise Durchsetzung angeordnet werden kann. Zudem kann das Gericht die Prozesskosten auferlegen, die durch die Weigerung verursacht worden sind.</w:t>
      </w:r>
    </w:p>
    <w:p>
      <w:r>
        <w:rPr>
          <w:b/>
        </w:rPr>
        <w:t>E. 4</w:t>
      </w:r>
    </w:p>
    <w:p>
      <w:r>
        <w:t>(Schriftliche Mitteilung.)</w:t>
      </w:r>
    </w:p>
    <w:p>
      <w:r>
        <w:rPr>
          <w:b/>
        </w:rPr>
        <w:t>E. 5</w:t>
      </w:r>
    </w:p>
    <w:p>
      <w:r>
        <w:t>Schriftliche Mitteilung an die Parteien, an die Kläger unter Beilage von Ko- pien der Urk. 1, 4 und 5/2-3, sowie an die Vorinstanz, je gegen Empfangs- schein.</w:t>
      </w:r>
    </w:p>
    <w:p>
      <w:r>
        <w:t>- 8 -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nicht vermögensrechtliche Angelegenheit. Die Beschwerde an das Bundesgericht hat keine aufschiebende Wirkung. Hinsichtlich des Fristenlaufs gelten die Art. 44 ff. BGG. Zürich, 1. Juli 2022 Obergericht des Kantons Zürich I. Zivilkammer Der Gerichtsschreiber: lic. iur. A. Baumgartner 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