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RX250010 vom 19. November 2025</w:t>
      </w:r>
    </w:p>
    <w:p>
      <w:r>
        <w:t>ZH Obergericht, 2025-11-19, DE</w:t>
      </w:r>
    </w:p>
    <w:p>
      <w:r>
        <w:rPr>
          <w:b/>
        </w:rPr>
        <w:t xml:space="preserve">Quelle: </w:t>
      </w:r>
      <w:r>
        <w:t>https://mcp.opencaselaw.ch/entscheid/zh_obergericht_RX250010</w:t>
      </w:r>
    </w:p>
    <w:p>
      <w:r>
        <w:t>FR: ZH_OBERGERICHT RX250010 du 19 novembre 2025</w:t>
      </w:r>
    </w:p>
    <w:p>
      <w:r>
        <w:t>IT: ZH_OBERGERICHT RX250010 del 19 novembre 2025</w:t>
      </w:r>
    </w:p>
    <w:p>
      <w:pPr>
        <w:pStyle w:val="Heading2"/>
      </w:pPr>
      <w:r>
        <w:t>Erwägungen</w:t>
      </w:r>
    </w:p>
    <w:p>
      <w:r>
        <w:rPr>
          <w:b/>
        </w:rPr>
        <w:t>E. 1</w:t>
      </w:r>
    </w:p>
    <w:p>
      <w:r>
        <w:t>Der Beklagte (vor Bezirksgericht) und Gesuchsteller (vor Obergericht) ge- langte mit Eingabe vom 23. September 2025 (Datum Poststempel) an das Ober- gericht des Kantons Zürich. Er befürchtete, der Kläger (vor Bezirksgericht) und Gesuchsgegner (vor Obergericht) werde gegen den Entscheid des Bezirksge- richts Zürich, 2. Abteilung (Kollegialgericht), vom 18. August 2025 im Verfahren- Nr. CP210011-L ein Rechtsmittel erheben. Der Gesuchsteller verlangte, dass ihm in einem solchen Rechtsmittelverfahren vor fristauslösender Zustellung der Rechtsmittelschrift zunächst eine Frist angesetzt werde, um einen Antrag auf Sicherstellung der Parteientschädigung im Sinne von Art. 99 ZPO zu stellen und zu begründen. Eine Rechtsmittelengabe des Gesuchsgegners solle ihm erst zur schriftlichen Stellungnahme zugestellt werden, wenn das Sicherstellungsgesuch nach Anhörung des Gesuchsgegners abgewiesen oder die angeordnete Sicher- heit durch diesen geleistet worden sei (act. 2 S. 1).</w:t>
      </w:r>
    </w:p>
    <w:p>
      <w:r>
        <w:rPr>
          <w:b/>
        </w:rPr>
        <w:t>E. 2</w:t>
      </w:r>
    </w:p>
    <w:p>
      <w:r>
        <w:t>Mit Verfügung vom 26. September 2025 wurde die Eingabe des Gesuchstel- lers vom 23. September 2025 als Schutzschrift entgegengenommen. Zudem wurde dem Gesuchsteller eine Frist von fünf Tagen angesetzt, um einen Vor- schuss von Fr. 500.00 zu leisten (act. 5). Der Gesuchsteller leistete den Kosten- vorschuss mit Valutadatum vom 30. September 2025 an die Obergerichtskasse (act. 6-7).</w:t>
      </w:r>
    </w:p>
    <w:p>
      <w:r>
        <w:rPr>
          <w:b/>
        </w:rPr>
        <w:t>E. 3</w:t>
      </w:r>
    </w:p>
    <w:p>
      <w:r>
        <w:t>In einer mit "Beschwerdeverfahren und auch Berufungsverfahren gegen das Urteil und den Beschluss vom 18. August 2025 des Bezirksgerichts Zürich, 2. Ab- teilung, Geschäfts-Nr. CP180012-L und Geschäfts-Nr. CP210011-L/U" bezeichne- ten Eingabe vom 13. Oktober 2025 (Datum Poststempel) wandte sich der Ge- suchsgegner an das Obergericht des Kantons Zürich. Es wurden am Obergericht die Verfahren-Nr. LB250055-O und RB250029-O angelegt. Diese Rechtsmittel- verfahren (Berufungsverfahren-Nr. LB250055-O sowie Beschwerdeverfahren-Nr. RB250029-O) wurden mit Beschlüssen vom 12. November 2025 durch Nichtein- treten erledigt. Prozessuale Weiterungen erfolgten nicht und es wurde dem Ge- suchsteller mangels Aufwand in beiden Verfahren keine Parteientschädigung zu-</w:t>
      </w:r>
    </w:p>
    <w:p>
      <w:r>
        <w:t>- 3 - gesprochen. Die vom Gesuchsteller in der Schutzschrift beantragte Fristanset- zung erübrigte sich damit. Das vorliegende Verfahren betreffend Schutzschrift ist daher zufolge Gegenstandslosigkeit abzuschreiben.</w:t>
      </w:r>
    </w:p>
    <w:p>
      <w:r>
        <w:rPr>
          <w:b/>
        </w:rPr>
        <w:t>E. 4</w:t>
      </w:r>
    </w:p>
    <w:p>
      <w:r>
        <w:t>Gemäss § 8 Abs. 2 GebV OG beträgt die Gebühr für die Entgegennahme einer Schutzschrift Fr. 500.– bis Fr. 2'000.–. Im vorliegenden Verfahren ist die Entscheidgebühr auf Fr. 500.– festzusetzen. Die Kosten für die Entgegennahme der Schutzschrift sind dem Gesuchsteller aufzuerlegen, welcher diese veranlasst hat (vgl. Zürcher, DIKE Komm-ZPO, 3. Aufl. 2025, Art. 270 N 14 und ZK ZPO-Hu- ber/Jutzeler, 4. Aufl. 2025, Art. 270 N 19 je m.w.H.). Die Gerichtskosten sind mit dem vom Gesuchsteller geleisteten Kostenvorschuss zu verrechnen (Art. 111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