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RX220002 vom 10. März 2022</w:t>
      </w:r>
    </w:p>
    <w:p>
      <w:r>
        <w:t>ZH Obergericht, 2022-03-10, DE</w:t>
      </w:r>
    </w:p>
    <w:p>
      <w:r>
        <w:rPr>
          <w:b/>
        </w:rPr>
        <w:t xml:space="preserve">Quelle: </w:t>
      </w:r>
      <w:r>
        <w:t>https://mcp.opencaselaw.ch/entscheid/zh_obergericht_RX220002</w:t>
      </w:r>
    </w:p>
    <w:p>
      <w:r>
        <w:t>FR: ZH_OBERGERICHT RX220002 du 10 mars 2022</w:t>
      </w:r>
    </w:p>
    <w:p>
      <w:r>
        <w:t>IT: ZH_OBERGERICHT RX220002 del 10 marzo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Gesuchsgegnerin erhob mit Eingabe vom 7. März 2022 Beschwerde gegen den Entscheid des Bezirksgerichts Zürich, Einzelgericht Audienz, vom 28. September 2020 im Verfahren Nr. EQ200137-L. Das Beschwerdeverfahren wurde unter der Prozess-Nummer PS220051 angelegt.</w:t>
      </w:r>
    </w:p>
    <w:p>
      <w:r>
        <w:rPr>
          <w:b/>
        </w:rPr>
        <w:t>E. 2</w:t>
      </w:r>
    </w:p>
    <w:p>
      <w:r>
        <w:t>Schriftliche Mitteilung an die Parteien gegen Empfangsschein, sowie an die Obergerichtskasse und mit den Akten in das Verfahren PS220051. Obergericht des Kantons Zürich II. Zivilkammer i.V. Die Gerichtsschreiberin: lic. iur. A. Götschi versandt am: 11. März 2022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