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RV250020 vom 5. Februar 2026</w:t>
      </w:r>
    </w:p>
    <w:p>
      <w:r>
        <w:t>ZH Obergericht, 2026-02-05, DE</w:t>
      </w:r>
    </w:p>
    <w:p>
      <w:r>
        <w:rPr>
          <w:b/>
        </w:rPr>
        <w:t xml:space="preserve">Quelle: </w:t>
      </w:r>
      <w:r>
        <w:t>https://mcp.opencaselaw.ch/entscheid/zh_obergericht_RV250020</w:t>
      </w:r>
    </w:p>
    <w:p>
      <w:r>
        <w:t>FR: ZH_OBERGERICHT RV250020 du 5 février 2026</w:t>
      </w:r>
    </w:p>
    <w:p>
      <w:r>
        <w:t>IT: ZH_OBERGERICHT RV250020 del 5 febbraio 2026</w:t>
      </w:r>
    </w:p>
    <w:p>
      <w:pPr>
        <w:pStyle w:val="Heading2"/>
      </w:pPr>
      <w:r>
        <w:t>Erwägungen</w:t>
      </w:r>
    </w:p>
    <w:p>
      <w:r>
        <w:rPr>
          <w:b/>
        </w:rPr>
        <w:t>E. 1</w:t>
      </w:r>
    </w:p>
    <w:p>
      <w:r>
        <w:t>Sachverhalt und Prozessverlauf</w:t>
      </w:r>
    </w:p>
    <w:p>
      <w:r>
        <w:rPr>
          <w:b/>
        </w:rPr>
        <w:t>E. 1.1</w:t>
      </w:r>
    </w:p>
    <w:p>
      <w:r>
        <w:t>Die Parteien heirateten am tt. Februar 2008. Aus ihrer Beziehung ging der am tt.mm.2012 geborene gemeinsame Sohn C._____ hervor (Urk. 3/5). Die- ser wurde vom Gesuchsgegner (Beschwerdegegner) am 22. August 2015 ohne Einwilligung der Gesuchstellerin (Beschwerdeführerin) nach Jordanien verbracht, wo er (abgesehen von einem zwischenzeitlichen Aufenthalt in Saudi-Arabien) seither mit seinem Vater und dessen neuer Ehefrau lebt (Urk. 1 Rz 12 und Rz 14; Urk. 3/1 S. 3 f.). Mit Urteil des Bezirksgerichts Zürich, 7. Abteilung – Einzelgericht, vom 30. September 2022 wurde die Ehe der Parteien geschieden (Urk. 3/3). Da- bei wurde der Sohn unter der bereits mit gerichtlicher Verfügung vom 9. Septem- ber 2015 zunächst superprovisorisch (Urk. 3/11 S. 16 Disp.-Ziff. 1) und alsdann mit (bestätigendem) Eheschutzurteil vom 17. Dezember 2015 (Urk. 3/12 S. 3 Disp.-Ziff. 2) der Gesuchstellerin zugeteilten alleinigen elterlichen Sorge belassen, der Gesuchstellerin (auch) die Obhut für den Sohn zugeteilt und dem Gesuchs- gegner weiterhin (vgl. bereits Urk. 3/12 S. 3 Disp.-Ziff. 3) kein persönlicher Ver- kehr mit dem Sohn zugestanden (Urk. 3/3 S. 28 Disp.-Ziff. 2–4). Am 1. Juli 2025 wurde der Gesuchsgegner am Flughafen D._____ [Stadt in Deutschland] festge- nommen, weil wegen der Entführung seines Sohnes international nach ihm ge- fahndet worden war. Seit dem 4. Juli 2025 befindet er sich im Kanton Zürich in Haft (Urk. 1 Rz 29 und Urk. 23; Urk. 3/1 S. 3).</w:t>
      </w:r>
    </w:p>
    <w:p>
      <w:r>
        <w:rPr>
          <w:b/>
        </w:rPr>
        <w:t>E. 1.2</w:t>
      </w:r>
    </w:p>
    <w:p>
      <w:r>
        <w:t>Mit Eingabe vom 9. Oktober 2025 ersuchte die Gesuchstellerin das Be- zirksgericht Zürich, Einzelgericht Audienz (Vorinstanz), um Vollstreckung der Dis- positiv-Ziffern 2, 3 und – unter Mitberücksichtigung der Gesuchsbegründung (vgl. BGer 4A_555/2022 vom 11. April 2023 E. 2.8 m.w.Hinw.) – auch Dispositiv-Ziffer</w:t>
      </w:r>
    </w:p>
    <w:p>
      <w:r>
        <w:rPr>
          <w:b/>
        </w:rPr>
        <w:t>E. 1.3</w:t>
      </w:r>
    </w:p>
    <w:p>
      <w:r>
        <w:t>Gegen das vorinstanzliche Urteil erhob die Gesuchstellerin mit Eingabe vom 27. Oktober 2025, gleichentags zur Post gegeben, Beschwerde mit folgen- den Anträgen (Urk. 12 S. 2): "1. Das Urteil des Bezirksgerichts Zürich vom 15. Oktober 2025 sei vollumfäng- lich aufzuheben. 2. Es seien die Dispositivziffern 2, 3 und 4 des Urteils des Bezirksgerichts Zü- rich vom 30. September 2022 durch Anordnung einer Strafdrohung nach Art. 292 StGB zu vollstrecken. Eventualiter sei der Entscheid zur Neubeurteilung an die Vorinstanz zurück- zuweisen. 3. Unter Kosten- und Entschädigungsfolgen (zzgl. MwSt) zu Lasten des Be- schwerdegegners." Die vorinstanzlichen Akten wurden beigezogen (Urk. 1–11) und dem Ge- suchsgegner wurde vom Eingang der Beschwerde Kenntnis gegeben (Urk. 17). Am 12. November 2025 konstituierte sich Rechtsanwältin lic. iur. Y._____ als Rechtsvertreterin des Gesuchsgegners (Urk. 18–20). Mit Verfügung vom 18. No- vember 2025 wurde der Gesuchstellerin für die Gerichtskosten des Beschwerde- verfahrens ein Vorschuss von Fr. 800.– auferlegt (Urk. 21), welcher am 25. No- vember 2025 einging (Urk. 22). Weitere prozessuale Anordnungen oder Eingaben erfolgten nicht. 2. Prozessuale Vorbemerkungen 2.1. Angefochten ist ein erstinstanzlicher Endentscheid, gegen den die Be- rufung nicht zulässig ist (Art. 309 lit. a ZPO). Er unterliegt deshalb der Beschwer- de (Art. 319 lit. a ZPO). Diese wurde form- und fristgerecht bei der zuständigen kantonalen Beschwerdeinstanz (§ 48 GOG) erhoben (Art. 321 Abs. 1 und 2 i.V.m. Art. 339 Abs. 2 ZPO, Art. 142 Abs. 1 sowie Art. 143 Abs. 1 ZPO; Urk. 6a) und ent- hält zulässige Rechtsmittelanträge. Der einverlangte Kostenvorschuss wurde in- nert Frist geleistet (Urk. 21–22) und die vor Vorinstanz unterlegene Gesuchstel- lerin ist ohne Weiteres zur Beschwerdeerhebung legitimiert. Unter dem Vorbehalt rechtsgenügender Begründung (vgl. Art. 321 Abs. 1 ZPO und dazu hinten, E. 2.3) ist auf die Beschwerde somit einzutreten. Wie im Folgenden zu zeigen ist, erweist sich diese aber als offensichtlich unbegründet (vgl. hinten, E. 3.5–3.6.3). Es er- übrigt sich deshalb, dem Gesuchsgegner Gelegenheit zu deren Beantwortung zu</w:t>
      </w:r>
    </w:p>
    <w:p>
      <w:r>
        <w:t>- 4 - geben (vgl. Art. 322 Abs. 1 ZPO). Ebenso ist von der Einholung einer vorinstanzli- chen Stellungnahme abzusehen (vgl. Art. 324 ZPO). Der Beschwerdeentscheid kann aufgrund der Akten ergehen (Art. 327 Abs. 2 ZPO) und ist ungeachtet von Art. 327 Abs. 5 ZPO mit Begründung zu eröffnen (vgl. ZK ZPO II-Freiburghaus/Af- heldt, Art. 327 N 21a; Rufibach, Dispositiveröffnung von kantonalen Rechtsmitte- lentscheiden, ZZZ 2023, S. 230 ff., insbes. S. 232 f.). 2.2. Die Gesuchstellerin verlangt mit ihrem (reformatorischen) Hauptantrag, ihrem Vollstreckungsbegehren im Sinne eines neuen Sachentscheids stattzuge- ben (Urk. 12 S. 2 Antrag 2 und Rz 53). Diesem Rechtsmittelbegehren kann von vornherein nicht entsprochen werden, nachdem dem Gesuchsgegner noch gar nicht Gelegenheit geboten wurde, sich zum Vollstreckungsgesuch zu äussern (vgl. Urk. 13 S. 2 E. 1; Art. 253 und Art. 341 Abs. 2 ZPO), und eine entsprechende Stellungnahme im Rahmen des Beschwerdeverfahrens wegen des Novenverbots (Art. 326 Abs. 1 ZPO) ausser Betracht fällt. Mangels Spruchreife müsste eine Gut- heissung der Beschwerde deshalb (im Sinne des Eventualantrags [Urk. 12 S. 2 Antrag 2 Abs. 2]) zur Rückweisung der Sache an die Vorinstanz führen (Art. 327 Abs. 3 ZPO). 2.3. Mit der Beschwerde können unrichtige Rechtsanwendung und offen- sichtlich unrichtige Feststellung des Sachverhalts geltend gemacht werden (Art. 320 ZPO). Hierfür hat sich die beschwerdeführende Partei (im Sinne einer Eintretensvoraussetzung) konkret mit den Erwägungen der Vorinstanz auseinan- derzusetzen und unter Bezugnahme auf konkrete Aktenstellen hinreichend genau aufzuzeigen, inwiefern der angefochtene Entscheid als fehlerhaft zu betrachten ist, d.h. an einem der genannten Mängel leidet (Art. 321 Abs. 1 ZPO und dazu BGer 5A_247/2013 vom 15. Oktober 2013 E. 3; BGer 5D_65/2014 vom 9. Sep- tember 2014 E. 5.4.1; BGer 5A_488/2015 vom 21. August 2015 E. 3.2 [je m.Hinw. auf BGE 138 III 374 E. 4.3.1 S. 375]; ZK ZPO II-Freiburghaus/Afheldt, Art. 321 N 15). Dabei sind neue Anträge, neue Tatsachenbehauptungen und neue Be- weismittel (zum Nachweis eines Beschwerdegrundes) ausgeschlossen (Art. 326 Abs. 1 ZPO; BGer 5A_872/2012 vom 22. Februar 2013 E. 3; BGer 5A_405/2011 vom 27. September 2011 E. 4.5.3 m.w.Hinw.; vgl. zu den Ausnahmen neben</w:t>
      </w:r>
    </w:p>
    <w:p>
      <w:r>
        <w:t>- 5 - Art. 326 Abs. 2 ZPO BGE 139 III 466 E. 3.4 S. 471; BGE 145 III 422 E. 5.2 S. 427 f.; BGer 4A_51/2015 vom 20. April 2015 E. 4.5.1). Das gilt auch in Verfah- ren, die – wie das vorliegende Vollstreckungsverfahren (vgl. BGer 5A_167/2017 vom 11. September 2017 E. 7.1) – der uneingeschränkten Untersuchungsmaxime (Art. 296 Abs. 1 ZPO) unterstehen (ZR 123/2024 Nr. 12). Was in der Beschwerde nicht oder nicht in einer den gesetzlichen Begrün- dungsanforderungen genügenden Weise beanstandet wird, braucht von der Rechtsmittelinstanz nicht überprüft zu werden und hat grundsätzlich Bestand. Das gilt zumindest insoweit, als ein Mangel nicht geradezu ins Auge springt. Abgese- hen von dieser Relativierung gilt der Grundsatz der Rechtsanwendung von Amtes wegen ("iura novit curia"; Art. 57 ZPO) aber auch im Beschwerdeverfahren. Die Beschwerdeinstanz ist deshalb weder an die in den Parteieingaben vorgetrage- nen Argumente noch an die Erwägungen der Erstinstanz gebunden. Sie kann die Beschwerde auch aus einem anderen als dem angerufenen Grund gutheissen oder mit einer von der Argumentation der Erstinstanz abweichenden Begründung abweisen (sog. Motivsubstitution; vgl. DIKE-Komm ZPO-Glasl/Glasl, Art. 57 N 22; CHK ZPO-Sutter-Somm/Seiler, Art. 57 N 6; BK ZPO I-Domenig/Hurni, Art. 57 N 21 [je m.w.Hinw.]; BGE 147 III 176 E. 4.2.1 S. 179 f.). In diesem Rahmen ist auf die Parteivorbringen einzugehen, soweit dies für die Entscheidfindung erforderlich ist (BGE 134 I 83 E. 4.1 S. 88 m.w.Hinw.; BGE 141 III 28 E. 3.2.4 S. 41; BGE 143 III 65 E. 5.2 S. 70 f.). 2.4. Vor diesem prozessualen Hintergrund sind insbesondere die neuen, erstmals im Beschwerdeverfahren vorgetragenen Behauptungen und Beweisofferten zur beruflichen Tätigkeit der neuen Ehefrau und des Onkels des Gesuchsgegners (Urk. 12 Rz 24 und Rz 26 f.) von vornherein unbeachtlich. 3. Materielle Beurteilung 3.1. Gegenstand des vorliegenden Vollstreckungsbegehrens bilden die Dis- positiv-Ziffern 2–4 des Scheidungsurteils vom 30. September 2022. Sie lauten wie folgt (Urk. 3/3 S. 28):</w:t>
      </w:r>
    </w:p>
    <w:p>
      <w:r>
        <w:t>- 6 - "2. Der Sohn C._____, geboren am tt.mm.2012, wird unter der alleinigen elterli- chen Sorge der Klägerin [= Gesuchstellerin] belassen. 3. Die Obhut für den Sohn C._____, geboren am tt.mm.2012, wird der Klägerin zugeteilt.</w:t>
      </w:r>
    </w:p>
    <w:p>
      <w:r>
        <w:rPr>
          <w:b/>
        </w:rPr>
        <w:t>E. 4</w:t>
      </w:r>
    </w:p>
    <w:p>
      <w:r>
        <w:t>Kosten- und Entschädigungsfolgen</w:t>
      </w:r>
    </w:p>
    <w:p>
      <w:r>
        <w:rPr>
          <w:b/>
        </w:rPr>
        <w:t>E. 4.1</w:t>
      </w:r>
    </w:p>
    <w:p>
      <w:r>
        <w:t>Die zweitinstanzliche Entscheidgebühr ist in Anwendung von § 5 Abs. 1, § 8 Abs. 1 und § 12 Abs. 1 GebV OG auf Fr. 800.– festzusetzen. Sie ist, dem allgemeinen Grundsatz folgend, der mit ihren Rechtsmittelanträgen unterlie- genden Gesuchstellerin aufzuerlegen (Art. 106 Abs. 1 ZPO; BGE 145 III 153 E. 3.2.2 S. 156 [betr. Berufung]) und mit dem von ihr geleisteten Kostenvorschuss zu verrechnen (Art. 111 Abs. 1 Satz 1 ZPO). Für eine abweichende Kostenvertei- lung nach Art. 107 Abs. 1 (insbes. lit. c oder f) ZPO sind keine Gründe ersichtlich oder dargetan, zumal den Gesichtspunkten des Obsiegens und Unterliegens im</w:t>
      </w:r>
    </w:p>
    <w:p>
      <w:r>
        <w:t>- 17 - Stadium des Rechtsmittelverfahrens ein grösseres Gewicht zukommt als noch im erstinstanzlichen Verfahren (DIKE-Komm ZPO-Grütter, Art. 107 N 5; vgl. auch ZK ZPO-Jenny, Art. 107 N 12).</w:t>
      </w:r>
    </w:p>
    <w:p>
      <w:r>
        <w:rPr>
          <w:b/>
        </w:rPr>
        <w:t>E. 4.2</w:t>
      </w:r>
    </w:p>
    <w:p>
      <w:r>
        <w:t>Für das zweitinstanzliche Verfahren sind keine Parteientschädigungen zuzusprechen: Dem im Beschwerdeverfahren obsiegenden Gesuchsgegner sind keine entschädigungspflichtigen Kosten und Umtriebe im Sinne von Art. 95 Abs. 3 ZPO entstanden, und die Gesuchstellerin hat als unterliegende Parteien ohnehin keinen Anspruch auf Parteientschädigung (Art. 106 Abs. 1 ZPO).</w:t>
      </w:r>
    </w:p>
    <w:p>
      <w:r>
        <w:rPr>
          <w:b/>
        </w:rPr>
        <w:t>E. 4.3</w:t>
      </w:r>
    </w:p>
    <w:p>
      <w:r>
        <w:t>Die Regelung der Nebenfolgen des erstinstanzlichen Verfahrens wird weder selbstständig angefochten noch konkret bemängelt, sondern nur als Folge des beschwerdeweise beantragten Prozessausgangs mitangefochten (vgl. Urk. 12 Rz 54). Sie ist, nachdem die Beschwerde nicht durchdringt, im Beschwer- deverfahren nicht zu überprüfen (vgl. vorne, E. 2.3).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