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RV220016 vom 16. März 2023</w:t>
      </w:r>
    </w:p>
    <w:p>
      <w:r>
        <w:t>ZH Obergericht, 2023-03-16, DE</w:t>
      </w:r>
    </w:p>
    <w:p>
      <w:r>
        <w:rPr>
          <w:b/>
        </w:rPr>
        <w:t xml:space="preserve">Quelle: </w:t>
      </w:r>
      <w:r>
        <w:t>https://mcp.opencaselaw.ch/entscheid/zh_obergericht_RV220016</w:t>
      </w:r>
    </w:p>
    <w:p>
      <w:r>
        <w:t>FR: ZH_OBERGERICHT RV220016 du 16 mars 2023</w:t>
      </w:r>
    </w:p>
    <w:p>
      <w:r>
        <w:t>IT: ZH_OBERGERICHT RV220016 del 16 marzo 2023</w:t>
      </w:r>
    </w:p>
    <w:p>
      <w:pPr>
        <w:pStyle w:val="Heading2"/>
      </w:pPr>
      <w:r>
        <w:t>Erwägungen</w:t>
      </w:r>
    </w:p>
    <w:p>
      <w:r>
        <w:rPr>
          <w:b/>
        </w:rPr>
        <w:t>E. 1</w:t>
      </w:r>
    </w:p>
    <w:p>
      <w:r>
        <w:t>Mit Beschluss vom 14. Februar 2022 verbot das Handelsgericht des Kan- tons Zürich (nachfolgend: Handelsgericht) der Gesuchsgegnerin und Beschwer- degegnerin (nachfolgend: Gesuchsgegnerin) als vorsorgliche Massnahme diverse Produktions- und Vertriebshandlungen bezüglich der ...-systeme C._____ und C._____ XL (kombinierte …- und …-Systeme mit Abrasiv-Behältern). Zudem wurde die Gesuchsgegnerin für die Dauer des Verfahrens verpflichtet, jegliche Kommunikation, Informationen und Materialien über die ...-systeme C._____ und C._____ XL auf den Internetpräsenzen der Gesuchsgegnerin zu entfernen und auf diversen Webseiten entfernen zu lassen. Für beide Anordnungen drohte das Handelsgericht der Gesuchsgegnerin an, dass die Gesuchsgegnerin bei Zuwider- handlung mit einer Ordnungsbusse von Fr. 1'000.– pro Tag gemäss Art. 343 Abs. 1 lit. c ZPO und die Organe der Gesuchsgegnerin mit Busse bis Fr. 10'000.– gemäss Art. 292 StGB bestraft werden können (Urk. 4/1 S. 68 ff.). Die Gesuch- stellerin und Beschwerdeführerin (nachfolgend: Gesuchstellerin) ersuchte das Handelsgericht mit Eingabe vom 22. August 2022 um Vollstreckung der angeord- neten Massnahmen und Verpflichtung der Gesuchsgegnerin, ihre selbstständigen Vertriebspartner über ihr Vertriebsverbot schriftlich zu informieren (Urk. 4/2 S. 2). Das Handelsgericht trat auf das Vollstreckungsgesuch nicht ein (Urk. 4/2 S. 4). 2.1. Die Gesuchstellerin stellte am 16. September 2022 beim Bezirksgericht Zü- rich ein Vollstreckungsgesuch mit folgenden Rechtsbegehren (Urk. 1 S. 2): " (1) Es sei die Gesuchgegnerin mit einer Ordnungsbusse von CHF 1'000, eventualiter mit einem nach Ermessen des Gerichts festzusetzenden Betrag, pro Tag der Nichterfüllung vom 14. Juni 2022 bis zum 16. September 2022 und je separat für die Verlet- zung des (i) Verbots der Herstellung; (ii) Verbots des Anbietens; (iii) Verbots des Verkaufes; (iv) Verbots des Anbietens durch Drit- te; (v) Verbots des Bewerbens durch Dritte und (vi) Verbots des Verkaufes durch Dritte gemäss Androhung in Ziff. 2 des Disposi- tivs des Massnahmenentscheids des Handelsgerichts des Kan- tons Zürich vom 14. Februar 2022 zu bestrafen.</w:t>
      </w:r>
    </w:p>
    <w:p>
      <w:r>
        <w:t>- 3 - (2) Es sei die Gesuchgegnerin mit einer der Höhe nach durch das Ermessen des Gerichts festzusetzenden Ordnungsbusse, pro Tag der Nichterfüllung vom 15. Februar 2022 bis zum 13. Juni 2022 für die mehrfache Verletzung der Verpflichtung zur Entfer- nung der Kommunikationen, Informationen und Materialien über die ...-systeme C._____ und C._____ XL, namentlich die Publika- tionen auf den Webseiten (i) www.D._____.com/... und (ii) https://E._____.de/... sowie auf der Website der Gesuchgegnerin (iii) https://www.B._____.com/...gemäss Androhung in Ziff. 3 des Dispositivs des Massnahmenentscheids des Handelsgerichts des Kantons Zürich vom 14. Februar 2022 zu bestrafen. (3) Unter Kosten- und Entschädigungsfolgen zulasten der Gesuch- gegnerin." Die Vorinstanz ging unter Verweis auf Urk. 1 S. 13 Rz. 39 von einem weiteren Rechtsbegehren aus (Urk. 15 S. 2 = Urk. 20 S. 2): "(3) Die Gesuchsgegnerin sei über die handelsgerichtliche Anordnung hinaus zu verpflichten, weltweit aktiv über das vorhandene Ver- triebsverbot der C._____-Produktelinie zu informieren." 2.2. Für den vorinstanzlichen Prozessverlauf kann auf den angefochtenen Ent- scheid verwiesen werden (Urk. 15 S. 2 f.). Mit Verfügung vom 18. November 2022 trat die Vorinstanz auf das Gesuch um Vollstreckung und Ergänzung einer vor- sorglichen Massnahme nicht ein (Urk. 15 S. 7). 2.3. Gegen die vorinstanzliche Verfügung vom 18. November 2022 erhob die Gesuchstellerin innert Frist (siehe Urk. 16a) Beschwerde mit folgenden Anträgen (Urk. 19 S. 2 ff.): " RECHTSBEGEHREN (1) Die Verfügung des Bezirksgerichts Zürich vom 18. November 2022 (EZ220031-L) sei aufzuheben und es sei den Rechtsbegeh- ren des Vollstreckungsgesuchs vom 16. September 2022 zu ent- sprechen: (a) Es sei die Gesuchgegnerin mit einer Ordnungsbusse von CHF 1'000, eventualiter mit einem nach Ermessen des Ge- richts festzusetzenden Betrag, pro Tag der Nichterfüllung vom 14. Juni 2022 bis zum 16. September 2022 und je se- parat für die Verletzung des (i) Verbots der Herstellung; (ii) Verbots des Anbietens; (iii) Verbots des Verkaufes; (iv) Ver- bots des Anbietens durch Dritte; (v) Verbots des Bewerbens durch Dritte und (vi) Verbots des Verkaufes durch Dritte ge- mäss Androhung in Ziff. 2 des Dispositivs des Massnah-</w:t>
      </w:r>
    </w:p>
    <w:p>
      <w:r>
        <w:t>- 4 - menentscheids des Handelsgerichts des Kantons Zürich vom 14. Februar 2022 zu bestrafen. (b) Es sei die Gesuchgegnerin mit einer der Höhe nach durch das Ermessen des Gerichts festzusetzenden Ordnungsbus- se, pro Tag der Nichterfüllung vom 15. Februar 2022 bis zum 13. Juni 2022 für die mehrfache Verletzung der Ver- pflichtung zur Entfernung der Kommunikationen, Informatio- nen und Materialien über die ...-systeme C._____ und C._____ XL, namentlich die Publikationen auf den Websei- ten (i) www.D._____.com/... und (ii) https://E._____.de/... sowie auf der Website der Gesuchgegnerin (iii) https://www.B._____.com/...gemäss Androhung in Ziff. 3 des Dispositivs des Massnahmenentscheids des Handelsge- richts des Kantons Zürich vom 14. Februar 2022 zu bestra- fen. (c) Unter Kosten- und Entschädigungsfolgen zulasten der Ge- suchgegnerin. (2) Eventualiter sei die Verfügung des Bezirksgerichts Zürich vom 18. November 2022 (EZ220031-L) aufzuheben und die Sache zur Neubeurteilung an die Vorinstanz zurückzuweisen, wobei erneut folgende Rechtsbegehren gestellt werden: (a) Es sei die Gesuchgegnerin mit einer Ordnungsbusse von CHF 1'000, eventualiter mit einem nach Ermessen des Ge- richts festzusetzenden Betrag, pro Tag der Nichterfüllung vom 14. Juni 2022 bis zum 16. September 2022 und je se- parat für die Verletzung des (i) Verbots der Herstellung; (ii) Verbots des Anbietens; (iii) Verbots des Verkaufes; (iv) Ver- bots des Anbietens durch Dritte; (v) Verbots des Bewerbens durch Dritte und (vi) Verbots des Verkaufes durch Dritte ge- mäss Androhung in Ziff. 2 des Dispositivs des Massnah- menentscheids des Handelsgerichts des Kantons Zürich vom 14. Februar 2022 zu bestrafen. (b) Es sei die Gesuchgegnerin mit einer der Höhe nach durch das Ermessen des Gerichts festzusetzenden Ordnungsbus- se, pro Tag der Nichterfüllung vom 15. Februar 2022 bis zum 13. Juni 2022 für die mehrfache Verletzung der Ver- pflichtung zur Entfernung der Kommunikationen, Informatio- nen und Materialien über die ...-systeme C._____ und C._____ XL, namentlich die Publikationen auf den Websei- ten (i) www.D._____.com/... und (ii) https://E._____.de/... sowie auf der Website der Gesuchgegnerin (iii) https://www.B._____.com/...gemäss Androhung in Ziff. 3 des Dispositivs des Massnahmenentscheids des Handelsge- richts des Kantons Zürich vom 14. Februar 2022 zu bestra- fen.</w:t>
      </w:r>
    </w:p>
    <w:p>
      <w:r>
        <w:t>- 5 - (c) Unter Kosten- und Entschädigungsfolgen zulasten der Ge- suchgegnerin. (3) Subeventualiter sei für den Fall, dass das Obergericht des Kan- tons Zürich die Zuständigkeit des Bezirksgerichts Zürich verneint: (a) Dispositivziffer 2 der Verfügung des Bezirksgerichts Zürich vom 18. November 2022 (EZ220031-L) aufzuheben und die Gerichtskosten von CHF 10'000 dem Kanton Zürich aufzuer- legen, eventualiter sei die Frage vom Obergericht des Kan- tons Zürich neu zu entscheiden resp. zur Neubeurteilung an die Vorinstanz zurückzuweisen. (b) Dispositivziffer 3 der Verfügung des Bezirksgerichts Zürich vom 18. November 2022 (EZ220031-L) aufzuheben und die Parteientschädigung von CHF 12'000 dem Kanton aufzuer- legen, eventualiter sei die Frage vom Obergericht des Kan- tons Zürich neu zu entscheiden resp. zur Neubeurteilung an die Vorinstanz zurückzuweisen. (c) Das Handelsgericht des Kanton Zürich unter Berücksichti- gung, dass seiner Verfügung vom 25. August 2022 (Ge- schäftsnummer HG210146) und insbesondere deren Dispo- sitivziffer 1 keine Rechtskraft zukommt, anzuweisen, dass es für die Beurteilung des streitgegenständlichen Vollstre- ckungsgesuchs zuständig sei. (4) Der Beschwerde sei in Bezug auf Dispositivziffern 2 und 3 der Verfügung des Bezirksgerichts Zürich vom 18. November 2022 (EZ220031-L) vorsorglich die aufschiebende Wirkung zu gewäh- ren. (5) Unter Kosten- und Entschädigungsfolgen zulasten der Beschwer- degegnerin und Gesuchsgegnerin, eventualiter zulasten des Kan- tons Zürich. PROZESSUALE ANTRÄGE (1) Es seien die vorinstanzlichen Akten beizuziehen. (2) Sofern das Obergericht des Kantons Zürich der Ansicht ist, die Angelegenheit sei spruchreif, wobei sie selbst in der Sache ent- scheidet (siehe Beschwerdeantrag Nr. 1 vorstehend), sei die Stel- lungnahme der Beschwerdeführerin und Gesuchstellerin im Rah- men des ewigen Replikrechts und zur Wahrung des rechtlichen Gehörs, eingereicht am 23. November 2022, bei der Beurteilung zu berücksichtigen. (3) Im Falle der Rückweisung zur Neubeurteilung an die Vorinstanz (siehe Beschwerdeantrag Nr. 2 vorstehend) sei diese zu verpflich- ten, die Stellungnahme der Beschwerdeführerin und Gesuchstel- lerin im Rahmen des ewigen Replikrechts und zur Wahrung des rechtlichen Gehörs, eingereicht am 23. November 2022, zu den Akten zu nehmen bzw. in der Beurteilung zu berücksichtigen."</w:t>
      </w:r>
    </w:p>
    <w:p>
      <w:r>
        <w:t>- 6 - 2.4. Mit Verfügung vom 13. Dezember 2022 wurde das Gesuch der Gesuchstel- lerin um aufschiebende Wirkung abgewiesen und ihr Frist angesetzt, um einen Kostenvorschuss von Fr. 16'000.– zu leisten (Urk. 24 S. 5). Dieser ging rechtzeitig ein (angehefteter Rückschein zu Urk. 24 und Urk. 25). Mit Verfügung vom</w:t>
      </w:r>
    </w:p>
    <w:p>
      <w:r>
        <w:rPr>
          <w:b/>
        </w:rPr>
        <w:t>E. 1.2</w:t>
      </w:r>
    </w:p>
    <w:p>
      <w:r>
        <w:t>und 4.2).</w:t>
      </w:r>
    </w:p>
    <w:p>
      <w:r>
        <w:t>- 13 -</w:t>
      </w:r>
    </w:p>
    <w:p>
      <w:r>
        <w:rPr>
          <w:b/>
        </w:rPr>
        <w:t>E. 4</w:t>
      </w:r>
    </w:p>
    <w:p>
      <w:r>
        <w:t>Weitere Beschwerdegründe und Beizug der freiwilligen Replik vom 23. November 2022</w:t>
      </w:r>
    </w:p>
    <w:p>
      <w:r>
        <w:rPr>
          <w:b/>
        </w:rPr>
        <w:t>E. 4.1</w:t>
      </w:r>
    </w:p>
    <w:p>
      <w:r>
        <w:t>Die Gesuchstellerin rügte in ihrer Beschwerdeschrift weiter eine Verletzung der Offizial- und Dispositionsmaxime (Urk. 19 Rz. 42 ff. und Rz. 67 ff.), offensicht- lich aktenwidrige tatsächliche Feststellungen (Urk. 19 Rz. 63 ff.), eine Verletzung der Prozessökonomie, des Prinzips von Treu und Glauben im Verfahren (Urk. 19 Rz. 72 ff.) sowie des rechtlichen Gehörs (Urk. 19 Rz. 72 ff.). Für den Fall eines re- formatorischen Entscheids oder bei einer Rückweisung an die Vorinstanz bean- tragte sie, dass ihre eingebrachte freiwillige Replik vom 23. November 2022 bei- zuziehen sei (Urk. 19 S. 4 und Rz. 89).</w:t>
      </w:r>
    </w:p>
    <w:p>
      <w:r>
        <w:rPr>
          <w:b/>
        </w:rPr>
        <w:t>E. 4.2</w:t>
      </w:r>
    </w:p>
    <w:p>
      <w:r>
        <w:t>Die Gesuchsgegnerin erachtete die freiwillige Replik als verspätete Einga- be (Urk. 27 Rz. 3). Im Übrigen sei mit dem Nichteintretensentscheid der Vo- rinstanz der Devolutiveffekt eingetreten. Die Vorinstanz sei spätestens ab Zustel- lung der angefochtenen Verfügung nicht mehr für die Streitsache zuständig ge- wesen. Aus diesen Gründen sei die Eingabe der Gesuchstellerin vom 23. November 2022 aus den Akten zu weisen bzw. habe unbeachtlich zu bleiben (Urk. 27 Rz. 5). Zu den weiteren Beschwerdegründen nahm die Gesuchsgegnerin keine Stellung (Urk. 27).</w:t>
      </w:r>
    </w:p>
    <w:p>
      <w:r>
        <w:rPr>
          <w:b/>
        </w:rPr>
        <w:t>E. 4.3</w:t>
      </w:r>
    </w:p>
    <w:p>
      <w:r>
        <w:t>Die Aufhebung des vorinstanzlichen Entscheids gestützt auf die weiteren vorgebrachten Beschwerdegründe würde zu einem prozessualen Leerlauf führen und das Vollstreckungsverfahren unnötig verzögern, zumal sie nichts an der feh- lenden sachlichen Zuständigkeit der Vorinstanz zu ändern vermögen. Die Prüfung dieser Beschwerdegründe erweist sich folglich als obsolet. Die Gesuchstellerin führte zu ihrem Subeventualantrag selbst aus, dass das Obergericht ihre Be-</w:t>
      </w:r>
    </w:p>
    <w:p>
      <w:r>
        <w:t>- 12 - schwerdeanträge (1) und (2) abweisen resp. auf diese nicht eintreten werde, wenn es zum Schluss komme, dass die Vorinstanz für die Vollstreckung der An- ordnung des Handelsgerichts sachlich unzuständig sei. Diesfalls werde der Kos- tenentscheid der Vorinstanz subeventualiter gesondert angefochten (Urk. 19 S. 3 und Rz. 97). Da weder ein reformatorischer Entscheid gefällt noch die Sache an die Vorinstanz zurückgewiesen wird, erübrigen sich Weiterungen zur Rechtzeitig- keit resp. Verspätung der freiwilligen Replik der Gesuchstellerin vom 23. November 2022. Beide Parteien werden vor Handelsgericht erneut Gelegen- heit zu Stellungnahmen haben, sofern die Gesuchstellerin ihr Vollstreckungsge- such beim Handelsgericht nochmals einreicht.</w:t>
      </w:r>
    </w:p>
    <w:p>
      <w:r>
        <w:rPr>
          <w:b/>
        </w:rPr>
        <w:t>E. 5</w:t>
      </w:r>
    </w:p>
    <w:p>
      <w:r>
        <w:t>Kostenentscheid der Vorinstanz</w:t>
      </w:r>
    </w:p>
    <w:p>
      <w:r>
        <w:rPr>
          <w:b/>
        </w:rPr>
        <w:t>E. 5.1</w:t>
      </w:r>
    </w:p>
    <w:p>
      <w:r>
        <w:t>Die Gesuchstellerin beantragte, die Gerichtskosten des Bezirksgerichts Zü- rich von Fr. 10'000.– und die Parteientschädigung von Fr. 12'000.– seien gemäss dem Leitentscheid zu negativen Kompetenzkonflikten (BGE 138 III 471) dem Kan- ton Zürich aufzuerlegen (Urk. 19 S. 3 und Rz. 100 f.). Das Bundesgericht habe in einem weiteren Urteil (BGer 5A_278/2013 vom 5. Juli 2013, E. 4.2) seinen Leiten- tscheid bestätigt und festgehalten, es rechtfertige sich, dem Kanton nicht bloss die Gerichtskosten des kantonalen Verfahrens, sondern über den Wortlaut von Art. 107 Abs. 2 ZPO hinaus auch die Parteikosten des vorinstanzlichen Verfah- rens aufzuerlegen (Urk. 19 Rz. 102).</w:t>
      </w:r>
    </w:p>
    <w:p>
      <w:r>
        <w:rPr>
          <w:b/>
        </w:rPr>
        <w:t>E. 5.2</w:t>
      </w:r>
    </w:p>
    <w:p>
      <w:r>
        <w:t>Das Bundesgericht bestätigte tatsächlich mehrfach seine in BGE 138 III 471 begründete Rechtsprechung, dass Art. 107 Abs. 2 ZPO bei innerkantonalen negativen Kompetenzkonflikten extensiv auszulegen ist. Dem Kanton können diesfalls neben den Gerichtskosten über den Wortlaut hinaus auch die Parteikos- ten auferlegt werden, wenn die Kosten nicht durch die Parteien veranlasst worden sind, sondern auf einen unzutreffenden Zuständigkeitsentscheid zurückgehen (BGE 142 III 110 E. 3.2; BGE 140 III 385 E. 4.1; BGer 5A_87/2022 vom 2. November 2022 E. 4.4.2 [zur Publikation vorgesehen]; BGer 5A_278/2013 E.</w:t>
      </w:r>
    </w:p>
    <w:p>
      <w:r>
        <w:rPr>
          <w:b/>
        </w:rPr>
        <w:t>E. 5.3</w:t>
      </w:r>
    </w:p>
    <w:p>
      <w:r>
        <w:t>Sowohl das Handelsgericht als auch die Vorinstanz entschieden ohne ent- sprechende Parteianträge über ihre sachliche Unzuständigkeit (Urk. 4/2, Urk. 10 und Urk. 20). Die Parteien verursachten die Verfahrenskosten nicht, weshalb nicht die Gesuchstellerin, sondern der Kanton die Gerichtskosten und Parteientschädi- gung zu tragen hat. Grundsätzlich können dem Kanton in Zivilverfahren keine Kosten auferlegt werden (§ 200 lit. a GOG). Diese Bestimmung wurde in der Überlegung erlassen, dass bei Auferlegung von Prozesskosten an den Kanton letztlich auch wieder nur die Staatskasse belastet werde, sodass mit der Festle- gung der Kostenfreiheit verhindert werde, dass unnötiger Verrechnungsaufwand zwischen verschiedenen kantonalen Stellen betrieben werde (Weisung zum GOG, ABl 2009, 1585 ff.; OGer ZH RT110085 vom 10.08.2011, E. 5). Die Ge- richtskosten des vorinstanzlichen Verfahrens fallen somit ausser Ansatz. Da die Gesuchstellerin die Gerichtskosten für das vorinstanzliche Verfahren mit ihrem Kostenvorschuss aber bereits beglichen hat (vgl. Urk. 15 Dispositiv-Ziffer 2), sind ihr die geleisteten Fr. 10'000.– zurückzuerstatten. Der Beschwerde wurde keine aufschiebende Wirkung gewährt (Urk. 24 Dispositiv-Ziffer 1). Die Gesuchstellerin wartet gemäss telefonischer Auskunft aber dennoch mit der Zahlung der Partei- entschädigung an die Gesuchsgegnerin bis zum Vorliegen des hiesigen Urteils zu (Urk. 29), weshalb die Fr. 12'000.– für die Parteientschädigung der Gesuchsgeg- nerin direkt zu überweisen sind. Der Gesuchstellerin ist mangels Antrags (vgl. Urk. 19 Rz. 2 ff.) für das vorinstanzliche Verfahren keine Parteientschädigung zu- zusprechen.</w:t>
      </w:r>
    </w:p>
    <w:p>
      <w:r>
        <w:rPr>
          <w:b/>
        </w:rPr>
        <w:t>E. 6</w:t>
      </w:r>
    </w:p>
    <w:p>
      <w:r>
        <w:t>Fazit Die Subeventualbegehren der Beschwerde (3) (a) und (b) sind gutzuheissen. Im Übrigen ist die Beschwerde abzuweisen. III. Kosten- und Entschädigungsfolgen 1. Die Gerichtsgebühr des zweitinstanzlichen Verfahrens fällt wegen der Kos- tenfreiheit des Kantons im Zivilverfahren (§ 200 lit. a GOG) ausser Ansatz.</w:t>
      </w:r>
    </w:p>
    <w:p>
      <w:r>
        <w:t>- 14 - 2. Die Parteientschädigungen sind gemäss dem unter E. II.5.2. und E. II.5.3. Erwogenen dem Kanton aufzuerlegen. Sie sind ausgehend von einem Streitwert von Fr. 690'000.– (Urk. 1 Rz. 44 f.) in Anwendung von § 13 Abs. 1 in Verbindung mit § 2 und § 4 Abs. 1 und 2 sowie § 9 und § 13 Abs. 2 AnwGebV zu bemessen. Der Gesuchstellerin sind Fr. 6'000.– und der Gesuchsgegnerin wegen des gerin- geren Zeitaufwands Fr. 4'000.– zuzusprechen. Weder die Gesuchstellerin noch die Gesuchsgegnerin beantragten eine Entschädigung inklusive Mehrwertsteuer. Bereits aus diesem Grund, aber auch wegen der im Ausland domizilierten Partei- en ist kein Mehrwertsteuerzuschlag zu entrichten (vgl. OGer ZH RB200007 vom 31.08.2020, E. 3 m.w.H.).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