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RV220012 vom 14. Februar 2023</w:t>
      </w:r>
    </w:p>
    <w:p>
      <w:r>
        <w:t>ZH Obergericht, 2023-02-14, DE</w:t>
      </w:r>
    </w:p>
    <w:p>
      <w:r>
        <w:rPr>
          <w:b/>
        </w:rPr>
        <w:t xml:space="preserve">Quelle: </w:t>
      </w:r>
      <w:r>
        <w:t>https://mcp.opencaselaw.ch/entscheid/zh_obergericht_RV220012</w:t>
      </w:r>
    </w:p>
    <w:p>
      <w:r>
        <w:t>FR: ZH_OBERGERICHT RV220012 du 14 février 2023</w:t>
      </w:r>
    </w:p>
    <w:p>
      <w:r>
        <w:t>IT: ZH_OBERGERICHT RV220012 del 14 febbraio 2023</w:t>
      </w:r>
    </w:p>
    <w:p>
      <w:pPr>
        <w:pStyle w:val="Heading2"/>
      </w:pPr>
      <w:r>
        <w:t>Erwägungen</w:t>
      </w:r>
    </w:p>
    <w:p>
      <w:r>
        <w:rPr>
          <w:b/>
        </w:rPr>
        <w:t>E. 1</w:t>
      </w:r>
    </w:p>
    <w:p>
      <w:r>
        <w:t>Die Gesuchsteller und Beschwerdeführer 1 und 2 (nachfolgend: Gesuchstel- ler) sind Eigentümer des Grundstücks E._____-strasse …b, F._____ (Kataster- Nr. 1, Blatt 2, Gemeinde F._____). Das benachbarte Grundstück an der E._____- strasse …c, F._____ (Kataster-Nr. 3, Blatt 4, Gemeinde F._____) gehört den Ge- suchs- und Beschwerdegegnern 1 und 2 (fortan: Gesuchsgegner). Zwischen den Parteien kam es zu einer nachbarschaftlichen Streitigkeit, weshalb die Gesuch- steller an das Friedensrichteramt F._____ gelangten, wo sie anlässlich der Schlichtungsverhandlung vom 6. Januar 2022 mit den Gesuchsgegnern folgen- den Vergleich schlossen (nachstehend: Vereinbarung; Urk. 4/4): "1. Die beklagte Partei verpflichtet sich das bestehende Fuss- und Fahrwegs- recht der klagenden Partei zu gewährleisten, indem insbesondere die Breite gemäss Servitut (Katasterplan) jederzeit freigehalten wird. Die klagende Partei stellt sicher, dass auf dem servituts-belasteten Gelände keine Fahrzeuge durch Besucher und Handwerker parkiert werden. Zudem verpflichtet sich die klagende Partei dafür zu sorgen, dass das Servitut nur schonend, d.h. nicht länger als nötig und nur auf dem schraffierten Teil (ge- mäss beiliegendem,Plan) ausgeübt wird, Auf dem mit Kreuzen bezeichneten Teil darf das Recht ausgeübt werden, sofern die bzeichnete Fläche verfügbar ist.</w:t>
      </w:r>
    </w:p>
    <w:p>
      <w:r>
        <w:rPr>
          <w:b/>
        </w:rPr>
        <w:t>E. 2</w:t>
      </w:r>
    </w:p>
    <w:p>
      <w:r>
        <w:t>Die beklagte Partei akzeptiert und bestätigt, dass ihr bisher auf dem Grundstück der klagenden Partei kein Fuss- und Fahrwegrecht und damit auch kein Wenderecht zustand. Schlussendlich einigen sich die Parteien darauf, dass das gemäss beiliegen- dem Plan beschriebene Fuss- und Fahrwegrecht (rot eingezeichnet) der be- klagten Partei vertraglich zugesichert wird. damit diese vorwärts aus dem Parkplatz herausfahren kann. Dank dieser Obligation wird es der beklagten Partei ermöglicht, vorwärts aus dem Parkplatz herausfahren zu können. Im Normalfall muss die Fläche frei sein. Die erwähnte Obligation kann von der</w:t>
      </w:r>
    </w:p>
    <w:p>
      <w:r>
        <w:t>- 3 - klagenden Partei im Falle von sachlichen, nachvollziehbaren Gründen innert Monatsfrist gekündigt werden.</w:t>
      </w:r>
    </w:p>
    <w:p>
      <w:r>
        <w:rPr>
          <w:b/>
        </w:rPr>
        <w:t>E. 3</w:t>
      </w:r>
    </w:p>
    <w:p>
      <w:r>
        <w:t>Die Parteien stellen sicher, dass sämtliche Kameras nur auf das eigene Grundstück gerichtet sind.</w:t>
      </w:r>
    </w:p>
    <w:p>
      <w:r>
        <w:rPr>
          <w:b/>
        </w:rPr>
        <w:t>E. 4</w:t>
      </w:r>
    </w:p>
    <w:p>
      <w:r>
        <w:t>Die Parteien verpflichten sich innert 10 Tagen nach Inkrafttreten der vorliegenden Vereinbarung sämtliche gegeneinander gestellte Strafanträ- ge/Strafanzeigen bei der zuständigen Stelle schriftlich zurückzuziehen.</w:t>
      </w:r>
    </w:p>
    <w:p>
      <w:r>
        <w:rPr>
          <w:b/>
        </w:rPr>
        <w:t>E. 5</w:t>
      </w:r>
    </w:p>
    <w:p>
      <w:r>
        <w:t>Mit dem unter Punkt 1 bis 4 beschriebenen Vorgehen sind die Parteien per Saldo aller Ansprüche auseinandergesetzt.</w:t>
      </w:r>
    </w:p>
    <w:p>
      <w:r>
        <w:rPr>
          <w:b/>
        </w:rPr>
        <w:t>E. 6</w:t>
      </w:r>
    </w:p>
    <w:p>
      <w:r>
        <w:t>Die Parteien übernehmen die Kosten der Schlichtungsverhandlung je zur Hälfte" 2. Mit Eingabe vom 27. Mai 2022 stellten die Gesuchsteller beim Einzelgericht im summarischen Verfahren am Bezirksgericht Hinwil (nachfolgend: Vorinstanz) folgende Rechtsbegehren (Urk. 1 S. 2): "1. Die Gesuchsgegner seien zu verpflichten, a) das bestehende Fuss- und Fahrwegrecht der Gesuchsteller jederzeit zu gewährleisten, insbesondere auf der gesamten Breite gemäss Ser- vitut (Katasterplan) freizuräumen und jederzeit freizuhalten; b) sämtliche Kameras nur auf das eigene Grundstück zu richten, und zwar so, dass die Gesuchsteller bei der Benutzung ihres Fuss- und Fahr- wegrechtes nicht überwacht werden können. 2. Für den Fall der Weigerung sei den Gesuchsgegnern Strafe nach Art. 292 StGB und / oder Ordnungsbusse anzuordnen. Weiter sei für den Fall der Weigerung der Gesuchsgegner[s] Ersatzvorname anzuordnen, wobei ein allfälliger Kostenvorschuss (wie auch die definitive Kostenübernahme) den Gesuchsgegnern (je unter solidarischer Haftbarkeit) aufzuerlegen sei. 3. Für den Fall des Betretens oder Befahrens des Grundstückes der Ge- suchsteller durch die Gesuchsgegner oder durch Personen, für welche die</w:t>
      </w:r>
    </w:p>
    <w:p>
      <w:r>
        <w:t>- 4 - Gesuchsgegner verantwortlich sind, sei den Gesuchsgegner Strafe nach Art. 292 StGB und / oder Ordnungsbusse anzuordnen. 4. Unter Kosten- und Entschädigungsfolgen (zuzüglich Mehrwertsteuer) zulasten der Gesuchsgegner, je unter solidarischer Haftbarkeit." 3. Der weitere Prozessverlauf kann den Erwägungen des vorinstanzlichen Ent- scheids entnommen werden (Urk. 14 S. 3 = Urk. 17 S. 3). Am 14. Juli 2022 erliess die Vorinstanz folgendes Urteil (Urk. 17 S. 9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