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RV220011 vom 31. August 2022</w:t>
      </w:r>
    </w:p>
    <w:p>
      <w:r>
        <w:t>ZH Obergericht, 2022-08-31, DE</w:t>
      </w:r>
    </w:p>
    <w:p>
      <w:r>
        <w:rPr>
          <w:b/>
        </w:rPr>
        <w:t xml:space="preserve">Quelle: </w:t>
      </w:r>
      <w:r>
        <w:t>https://mcp.opencaselaw.ch/entscheid/zh_obergericht_RV220011</w:t>
      </w:r>
    </w:p>
    <w:p>
      <w:r>
        <w:t>FR: ZH_OBERGERICHT RV220011 du 31 août 2022</w:t>
      </w:r>
    </w:p>
    <w:p>
      <w:r>
        <w:t>IT: ZH_OBERGERICHT RV220011 del 31 agosto 2022</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w:t>
      </w:r>
    </w:p>
    <w:p>
      <w:r>
        <w:t>- 3 - tember 2016, E. 3.1; BGer 5A_206/2016 vom 1. Juni 2016, E. 4.2; BGer 5A_488/2015 vom 21. August 2015, E. 3.2, je mit Hinweis auf BGE 138 III 374 E. 4.3.1). 3.1 Die Gesuchsteller stellen weder einen entsprechenden Beschwerdeantrag noch äussern sie sich in der Beschwerdeschrift zur vorinstanzlichen Dispositiv- Ziffer 2 betreffend Auferlegung eines Kostenvorschusses (vgl. Urk. 1). Diesbezüg- lich ist auf die Beschwerde somit nicht einzutreten. 3.2 In Bezug auf die vorinstanzliche Dispositiv-Ziffer 1 betreffend Bezeichnung eines Zustellungsdomizils stellen die Gesuchsteller zwar einen Beschwerdean- trag, doch fehlt es in der Beschwerdeschrift an einer rechtsgenügenden Rüge. So wird einzig geltend gemacht, dass in anderen Verfahren beim Zivilgericht Basel die Anerkennung ohne die Bezeichnung eines Zustellungsdomizil erfolgt sei (Urk. 1 S. 2). Damit setzen sich die Gesuchsteller weder mit dem vorinstanzlichen Entscheid noch mit Art. 140 ZPO auseinander. Dessen Voraussetzung ist denn auch zweifellos gegeben, haben doch weder die Gesuchsteller noch deren Rechtsvertreterin (Wohn-)Sitz in der Schweiz. 3.3 Nach dem Gesagten erweist sich die Beschwerde der Gesuchsteller als un- begründet. Sie ist abzuweisen, soweit darauf einzutreten ist.</w:t>
      </w:r>
    </w:p>
    <w:p>
      <w:r>
        <w:rPr>
          <w:b/>
        </w:rPr>
        <w:t>E. 4</w:t>
      </w:r>
    </w:p>
    <w:p>
      <w:r>
        <w:t>In Anwendung von Art. 107 Abs. 1 lit. f ZPO ist auf eine Kostenauferlegung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