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RV220009 vom 27. Juni 2022</w:t>
      </w:r>
    </w:p>
    <w:p>
      <w:r>
        <w:t>ZH Obergericht, 2022-06-27, DE</w:t>
      </w:r>
    </w:p>
    <w:p>
      <w:r>
        <w:rPr>
          <w:b/>
        </w:rPr>
        <w:t xml:space="preserve">Quelle: </w:t>
      </w:r>
      <w:r>
        <w:t>https://mcp.opencaselaw.ch/entscheid/zh_obergericht_RV220009</w:t>
      </w:r>
    </w:p>
    <w:p>
      <w:r>
        <w:t>FR: ZH_OBERGERICHT RV220009 du 27 juin 2022</w:t>
      </w:r>
    </w:p>
    <w:p>
      <w:r>
        <w:t>IT: ZH_OBERGERICHT RV220009 del 27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Gesuchsteller und Beschwerdeführer (nachfolgend: Gesuchsteller) sowie die Gesuchs- und Beschwerdegegnerin (nachfolgend: Gesuchsgegnerin) sind französische Staatsangehörige mit Wohnsitz in Frankreich (Urk. 2/1–4). Mit Entscheid vom 14. Juni 2016 schied das Tribunal de Grande Instance de Mul- house die Ehe der Parteien. Das Gericht verpflichtete den Gesuchsteller unter anderem, der Gesuchsgegnerin eine Kapitalabfindung ("prestation compensa- toire") in Form einer monatlichen Leibrente ("rente viagère") von EUR 500.– zu bezahlen (Urk. 2/2 S. 11 f.). Es erwog, dass die Kapitalabfindung im Sinne von Art. 270 des französischen Code civil (nachfolgend: CCfr) dazu bestimmt sei, ehebedingte Folgen auszugleichen ("elle a pour vocation de réparer les conséquences de choix pris en commun par les époux durant leur vie commune"; Urk. 2/2 S. 7 und 9). Der Gesuchsteller habe eine zweite Säule bei einer schwei- zerischen Pensionskasse, welche im Juli 2020 voraussichtlich Fr. 656'000.– auf- weisen werde. Diese stelle Eigengut des Gesuchstellers dar. Sie sei jedoch be- reits bei der Kapitalabfindung und nicht erst im Rahmen der güterrechtlichen Aus- einandersetzung zu berücksichtigen. Deshalb könne die Gesuchsgegnerin nicht mehr die Hälfte bei den schweizerischen Instanzen verlangen (Urk. 2/2 S. 10). Am 29. Mai 2018 bestätigte die Cour d'Appel de Colmar den Entscheid vom 14. Juni 2016 hinsichtlich der Leibrente (Urk. 2/3).</w:t>
      </w:r>
    </w:p>
    <w:p>
      <w:r>
        <w:rPr>
          <w:b/>
        </w:rPr>
        <w:t>E. 2</w:t>
      </w:r>
    </w:p>
    <w:p>
      <w:r>
        <w:t>Am 30. April 2022 reichte der Gesuchsteller bei der Vorinstanz einen "Antrag auf Anerkennung einer Scheidungsentscheidung einer französischen Ge- richtsbarkeit nach den Regeln des Lugano-Übereinkommens und Forderung zum Schadenersatz durch Verletzung des Internationalrechts und Diskriminierung der Staatsangehörigkeit" ein und stellte sinngemäss folgende Anträge (Urk. 6 S. 2; siehe Urk. 1 S. 12 f.; Urk. 2/5–9):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