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RV220004 vom 5. Mai 2022</w:t>
      </w:r>
    </w:p>
    <w:p>
      <w:r>
        <w:t>ZH Obergericht, 2022-05-05, DE</w:t>
      </w:r>
    </w:p>
    <w:p>
      <w:r>
        <w:rPr>
          <w:b/>
        </w:rPr>
        <w:t xml:space="preserve">Quelle: </w:t>
      </w:r>
      <w:r>
        <w:t>https://mcp.opencaselaw.ch/entscheid/zh_obergericht_RV220004</w:t>
      </w:r>
    </w:p>
    <w:p>
      <w:r>
        <w:t>FR: ZH_OBERGERICHT RV220004 du 5 mai 2022</w:t>
      </w:r>
    </w:p>
    <w:p>
      <w:r>
        <w:t>IT: ZH_OBERGERICHT RV220004 del 5 maggio 2022</w:t>
      </w:r>
    </w:p>
    <w:p>
      <w:pPr>
        <w:pStyle w:val="Heading2"/>
      </w:pPr>
      <w:r>
        <w:t>Erwägungen</w:t>
      </w:r>
    </w:p>
    <w:p>
      <w:r>
        <w:rPr>
          <w:b/>
        </w:rPr>
        <w:t>E. 2</w:t>
      </w:r>
    </w:p>
    <w:p>
      <w:r>
        <w:t>Die Entscheidgebühr wird auf Fr. 500.– festgesetzt.</w:t>
      </w:r>
    </w:p>
    <w:p>
      <w:r>
        <w:rPr>
          <w:b/>
        </w:rPr>
        <w:t>E. 3</w:t>
      </w:r>
    </w:p>
    <w:p>
      <w:r>
        <w:t>Die Kosten werden der Gesuchsgegnerin auferlegt.</w:t>
      </w:r>
    </w:p>
    <w:p>
      <w:r>
        <w:rPr>
          <w:b/>
        </w:rPr>
        <w:t>E. 4</w:t>
      </w:r>
    </w:p>
    <w:p>
      <w:r>
        <w:t>Die Gesuchsgegnerin wird verpflichtet, dem Gesuchsteller eine Parteient- schädigung von Fr. 900.– zu bezahlen.</w:t>
      </w:r>
    </w:p>
    <w:p>
      <w:r>
        <w:rPr>
          <w:b/>
        </w:rPr>
        <w:t>E. 5</w:t>
      </w:r>
    </w:p>
    <w:p>
      <w:r>
        <w:t>[Mitteilungssatz]</w:t>
      </w:r>
    </w:p>
    <w:p>
      <w:r>
        <w:rPr>
          <w:b/>
        </w:rPr>
        <w:t>E. 5.1</w:t>
      </w:r>
    </w:p>
    <w:p>
      <w:r>
        <w:t>Für das Beschwerdeverfahren ist in Anwendung von § 5 Abs. 1, § 8 Abs. 1 und § 12 der Gerichtsgebührenverordnung eine Entscheidgebühr von Fr. 500.– festzusetzen. Die Kosten sind ausgangsgemäss der in der Sache unterliegenden Gesuchsgegnerin aufzuerlegen (Art. 106 Abs. 1 ZPO).</w:t>
      </w:r>
    </w:p>
    <w:p>
      <w:r>
        <w:rPr>
          <w:b/>
        </w:rPr>
        <w:t>E. 5.2</w:t>
      </w:r>
    </w:p>
    <w:p>
      <w:r>
        <w:t>Für das Beschwerdeverfahren sind keine Parteientschädigungen zuzuspre- chen, der Gesuchsgegnerin zufolge ihres Unterliegens, dem Gesuchsteller man- gels relevanter Umtriebe (Art. 106 Abs. 1 ZPO, Art. 95 Abs. 3). Es wird beschlossen:</w:t>
      </w:r>
    </w:p>
    <w:p>
      <w:r>
        <w:rPr>
          <w:b/>
        </w:rPr>
        <w:t>E. 6</w:t>
      </w:r>
    </w:p>
    <w:p>
      <w:r>
        <w:t>[Rechtsmittel: Beschwerde; Frist: 10 Tage]" 1.4 Hiergegen erhob die Gesuchsgegnerin mit Eingaben vom 9. respektive</w:t>
      </w:r>
    </w:p>
    <w:p>
      <w:r>
        <w:rPr>
          <w:b/>
        </w:rPr>
        <w:t>E. 10</w:t>
      </w:r>
    </w:p>
    <w:p>
      <w:r>
        <w:t>April 2022 (Poststempel: 10. April 2022) fristgerecht (vgl. Art. 321 Abs. 2 ZPO sowie Urk. 26 und 27) "Berufung" mit dem Antrag, sämtliche Dispositiv-Ziffern des vorinstanzlichen Entscheids seien aufzuheben (Urk. 29A S. 2 Antrag 1), sowie mit fünf anderen, teilweise nur schwer verständlichen Anträgen (Urk. 29A S. 2 f. Anträ- ge 2-6) (Urk. 29A und 29B). Die Eingaben der Gesuchsgegnerin sind im Sinne der korrekten vorinstanzlichen Rechtsmittelbelehrung (vgl. Urk. 30 S. 7 f. Dispositiv- Ziffer 6) als Beschwerde entgegenzunehmen (vgl. Art. 319 lit. a i.V.m. Art. 309 lit. a ZPO). 1.5 Die Eingaben der Gesuchsgegnerin enthalten entgegen den Vorgaben von Art. 130 Abs. 1 ZPO keine Unterschrift (vgl. Urk. 29A S. 7 und 29B S. 2). Aufgrund des Verfahrensausgangs und weil keine Zweifel bestehen, dass sie von der Ge- suchsgegnerin persönlich verfasst wurden, wird jedoch aus prozessökonomischen Gründen von einer Rückweisung zur Verbesserung nach Art. 132 Abs. 1 ZPO ab- gesehen. 1.6 Die vorinstanzlichen Akten wurden beigezogen (Urk. 1-28). Da sich die Be- schwerde – wie nachfolgend aufzuzeigen sein wird – sogleich als offensichtlich un-</w:t>
      </w:r>
    </w:p>
    <w:p>
      <w:r>
        <w:t>- 4 - zulässig bzw. unbegründet erweist, erübrigt sich das Einholen einer Beschwerde- antwort (Art. 322 Abs. 1 ZPO). 2. Die Vorinstanz erwog zusammengefasst, dass die Gesuchsgegnerin gegen das zu vollstreckende Eheschutzurteil vom 19. Januar 2022 Berufung erhoben ha- be, ihr Gesuch um Erteilung der aufschiebenden Wirkung mit Verfügung des Ober- gerichts des Kantons Zürich vom 31. März 2022 jedoch abgewiesen worden sei. Entsprechend sei Dispositiv-Ziffer 7 des vorgenannten Urteils nach Art. 315 Abs. 4 lit. b und Abs. 5 ZPO vollstreckbar. Es lägen keine formellen Vollstreckungshinder- nisse vor. Das Urteil enthalte einen vollstreckbaren Inhalt, da die darin aufgeführte Verpflichtung der Gesuchsgegnerin abschliessend und klar formuliert sei, so dass kein inhaltlicher Interpretationsspielraum bestehe (Urk. 30 S. 4). Mit Abweisung des Gesuchs um Erteilung der aufschiebenden Wirkung habe sich der materielle Haupteinwand der Gesuchsgegnerin erledigt. Deren übrige Ausführungen würden keine Noven betreffen, die der Vollstreckung entgegenständen. Vielmehr sei die von der Gesuchsgegnerin im Vollstreckungsverfahren geschilderte persönliche Si- tuation der Parteien dem Eheschutzgericht bereits bekannt gewesen und bei der Entscheidfindung berücksichtigt worden. Das Urteil dürfe im Vollstreckungsverfah- ren nicht überprüft werden, weshalb die entsprechenden Ausführungen der Ge- suchsgegnerin unbeachtlich seien (Urk. 30 S. 5). Die vom Gesuchsteller beantragte Ausweisung der Gesuchsgegnerin aus der ehelichen Liegenschaft, nötigenfalls un- ter Beizug der Polizei, erscheine als am ehesten geeignet, Dispositiv-Ziffer 7 des Urteils vom 19. Januar 2022 zu vollstrecken. So könne sichergestellt werden, dass die Gesuchsgegnerin die eheliche Liegenschaft verlasse und die Schlüssel aus- händige. Die Anordnung der Ausweisung sei verhältnismässig (Urk. 30 S. 6). 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w:t>
      </w:r>
    </w:p>
    <w:p>
      <w:r>
        <w:t>- 5 -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4. Diesen formellen Anforderungen genügen die Eingaben der Gesuchsgegnerin nicht. Anstatt sich mit dem vorinstanzlichen Entscheid auseinanderzusetzen, macht sie – soweit verständlich – Ausführungen zum persönlichen Konflikt mit dem Ge- suchsteller sowie zur Obhuts- und Betreuungsregelung betreffend die gemeinsa- men Kinder (Urk. 29A S. 3 ff.). Dabei scheint die Gesuchsgegnerin das vorliegende Vollstreckungsverfahren mit dem bereits bei der hiesigen Kammer anhängigen Be- rufungsverfahren betreffend Eheschutz (Geschäfts-Nr. LE200008 O) zu vermen- gen. So stellt sie neben dem Antrag auf Aufhebung der Dispositiv-Ziffern des vor- liegend angefochtenen Vollstreckungsentscheids auch Anträge im Zusammenhang mit dem Eheschutzverfahren (bspw. zur Betreuungsregelung; vgl. Urk. 29A S. 2f. Anträge 2-6) und geht in ihrem Nachtrag vom 10. April 2022 teilweise direkt auf die Erwägungen des Eheschutzentscheids der Vorinstanz vom 19. Januar 2022 ein (Urk. 29B). Ihre Ausführungen stellen, wie die Vorinstanz bereits korrekt ausführte (vgl. Urk. 30 S. 5), jedoch allesamt keine materiellen Einwendung im Sinne von Art. 341 Abs. 3 ZPO dar und stehen der Vollstreckung nicht entgegen. Wenn die Gesuchsgegnerin geltend machen möchte, dass der zu vollstreckende Ehe- schutzentscheid vom 19. Januar 2022 abgeändert werden müsse, dann ist sie da- mit auf das von ihr bereits anhängig gemachte Berufungsverfahren zu verweisen; im Vollstreckungsverfahren kann nicht darüber entschieden werden (BGE 111 II 313 E. 4). Daneben wären neue Tatsachenbehauptungen aufgrund des im Be- schwerdeverfahren geltenden Novenverbots ohnehin nicht zu berücksichtigen (vgl. Art. 326 Abs. 1 ZPO). Da die Gesuchsgegnerin im vorliegenden Beschwerdever- fahren betreffend Vollstreckung ihrer Begründungsobliegenheit nicht nachkommt (vgl. oben Ziff. 3), ist auf die Beschwerde nicht einzutreten.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