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RV200018 vom 7. August 2020</w:t>
      </w:r>
    </w:p>
    <w:p>
      <w:r>
        <w:t>ZH Obergericht, 2020-08-07, DE</w:t>
      </w:r>
    </w:p>
    <w:p>
      <w:r>
        <w:rPr>
          <w:b/>
        </w:rPr>
        <w:t xml:space="preserve">Quelle: </w:t>
      </w:r>
      <w:r>
        <w:t>https://mcp.opencaselaw.ch/entscheid/zh_obergericht_RV200018</w:t>
      </w:r>
    </w:p>
    <w:p>
      <w:r>
        <w:t>FR: ZH_OBERGERICHT RV200018 du 7 août 2020</w:t>
      </w:r>
    </w:p>
    <w:p>
      <w:r>
        <w:t>IT: ZH_OBERGERICHT RV200018 del 7 agosto 2020</w:t>
      </w:r>
    </w:p>
    <w:p>
      <w:pPr>
        <w:pStyle w:val="Heading2"/>
      </w:pPr>
      <w:r>
        <w:t>Erwägungen</w:t>
      </w:r>
    </w:p>
    <w:p>
      <w:r>
        <w:rPr>
          <w:b/>
        </w:rPr>
        <w:t>E. 1</w:t>
      </w:r>
    </w:p>
    <w:p>
      <w:r>
        <w:t>a) Mit Verfügung vom 13. September 2019 regelte das Bezirksge- richt Uster als vorsorgliche Massnahme im Scheidungsverfahren der Parteien das Besuchsrecht des Gesuchstellers für die gemeinsame Tochter C._____, geboren tt.mm. 2013 (Vi-Urk. 3/3/1). Am 10. Oktober 2019 reichte der Gesuchsteller beim Bezirksgericht Uster (Vorinstanz) ein Gesuch um Vollstreckung dieses Besuchs- rechts ein (Vi-Urk. 1). Mit Urteil vom 8. Januar 2020 hiess die Vorinstanz das Voll- streckungsgesuch im Wesentlichen, an die aktuellen Verhältnisse angepasst, gut (Vi-Urk. 26). Dieses Urteil wurde von der Kammer auf Beschwerde der Gesuchs- gegnerin hin mit Beschluss vom 26. März 2020 wegen Verletzung des rechtlichen Gehörs aufgehoben und die Sache wurde zur Ergänzung des Verfahrens und zu neuer Entscheidung im Sinne der Erwägungen an die Vorinstanz zurückgewiesen (Vi-Urk. 1). Mit Verfügung vom 9. April 2020 setzte die Vorinstanz den Parteien Frist zur Erhebung von Einwendungen gegen die Kindesvertreterin an (Vi-Urk. 7). Die Gesuchsgegnerin liess sich vernehmen (Vi-Urk. 12). Am 14. Mai 2020 führte die Vorinstanz eine Kindesanhörung durch (Vi-Prot. S. 5-10). Mit Verfügung vom 13. Juli 2020 entschied die Vorinstanz Folgendes (Urk. 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