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RV200003 vom 25. Mai 2020</w:t>
      </w:r>
    </w:p>
    <w:p>
      <w:r>
        <w:t>ZH Obergericht, 2020-05-25, DE</w:t>
      </w:r>
    </w:p>
    <w:p>
      <w:r>
        <w:rPr>
          <w:b/>
        </w:rPr>
        <w:t xml:space="preserve">Quelle: </w:t>
      </w:r>
      <w:r>
        <w:t>https://mcp.opencaselaw.ch/entscheid/zh_obergericht_RV200003</w:t>
      </w:r>
    </w:p>
    <w:p>
      <w:r>
        <w:t>FR: ZH_OBERGERICHT RV200003 du 25 mai 2020</w:t>
      </w:r>
    </w:p>
    <w:p>
      <w:r>
        <w:t>IT: ZH_OBERGERICHT RV200003 del 25 maggio 2020</w:t>
      </w:r>
    </w:p>
    <w:p>
      <w:pPr>
        <w:pStyle w:val="Heading2"/>
      </w:pPr>
      <w:r>
        <w:t>Erwägungen</w:t>
      </w:r>
    </w:p>
    <w:p>
      <w:r>
        <w:rPr>
          <w:b/>
        </w:rPr>
        <w:t>E. 10</w:t>
      </w:r>
    </w:p>
    <w:p>
      <w:r>
        <w:t>September 2019 (Urkundenrolle Nr. L 437/2019) wurde das beurkundete Schuldanerkenntnis vom 1. März 2019 wieder an den Gesuchsteller zurücküber- tragen (Urk. 1/3/2). Zum Hintergrund der Schuld führte der Gesuchsteller vor Vor- instanz aus, der Gesuchsgegner habe ihn mehrfach durch gezielte Täuschung da- zu gebracht, ihm bzw. ihm nahestehenden Unternehmen hohe Darlehen zu ge- währen und habe ihn darüber hinaus dazu bewogen, weitgehend wertlose Investi- tionen in vom Gesuchsgegner kontrollierte Unternehmen zu tätigen. Dadurch sei ihm ein Schaden in der Höhe von Fr. 3'500'000.– entstanden. Ein Teil dieser For- derung – nämlich die EUR 2'800'000.– habe er dann an D._____ abgetreten. Trotz mehrfacher Aufforderung habe der Gesuchsgegner bis zum heutigen Tage die im Schuldanerkenntnis verbriefte Schuld weder ganz noch teilweise getilgt (Urk. 1/1 S. 3; vgl. auch Urk. 6A S. 3, S. 5 f. und S. 7). 1.2. Mit Eingabe vom 10. Januar 2020 stellte der Gesuchsteller vor Vorinstanz folgendes Gesuch (Urk. 1/1 S. 2): "1. Das Schuldanerkenntnis mit Zwangsvollstreckungsunterwerfung vom 1. März 2019 (Nr. 260 der Urkundenrolle für 2019) sei für vollstreckbar zu erklären. 2. Folgende Vermögensgegenstände des Gesuchsgegners seien zu arrestieren, alles soweit arrestierbar, bis zur Deckung der Arrestforderungen des Gesuch- stellers von CHF 3'178'756.00 nebst Zins zu 5 % seit 1. März 2019: a) Die Liegenschaft untere E._____-Strasse …, F._____, Grundbuchblatt Nr. 1, EGRID CH… : 68/1000 Miteigentum an Grundbuchblatt Nr. 2, Ka- taster …, EGRID CH…; b) Die Liegenschaft untere E._____-Strasse …, F._____, Grundbuchblatt Nr. 3: 1/33 Miteigentum an Grundbuchblatt 4;</w:t>
      </w:r>
    </w:p>
    <w:p>
      <w:r>
        <w:t>- 3 - c) Die Liegenschaft untere E._____-Strasse …, F._____, Grundbuchblatt Nr. 5: 1/33 Miteigentum an Grundbuchblatt 4; d) Die Liegenschaft untere E._____-Strasse …, F._____, Grundbuchblatt Nr. 6: 1/33 Miteigentum an Grundbuchblatt 4. 3. Alles unter Kosten und Entschädigungsfolgen (zuzüglich allfälliger gesetzli- cher MWSt) zu Lasten des Gesuchsgegners." 1.3. Die Vorinstanz kam dem Begehren des Gesuchstellers ohne Anhörung des Gesuchsgegners (Art. 41 LugÜ) nach und erliess am 15. Januar 2020 folgendes Urteil (Urk. 1/4 = Urk. 7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