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RV190007 vom 6. April 2020</w:t>
      </w:r>
    </w:p>
    <w:p>
      <w:r>
        <w:t>ZH Obergericht, 2020-04-06, DE</w:t>
      </w:r>
    </w:p>
    <w:p>
      <w:r>
        <w:rPr>
          <w:b/>
        </w:rPr>
        <w:t xml:space="preserve">Quelle: </w:t>
      </w:r>
      <w:r>
        <w:t>https://mcp.opencaselaw.ch/entscheid/zh_obergericht_RV190007</w:t>
      </w:r>
    </w:p>
    <w:p>
      <w:r>
        <w:t>FR: ZH_OBERGERICHT RV190007 du 6 avril 2020</w:t>
      </w:r>
    </w:p>
    <w:p>
      <w:r>
        <w:t>IT: ZH_OBERGERICHT RV190007 del 6 aprile 2020</w:t>
      </w:r>
    </w:p>
    <w:p>
      <w:pPr>
        <w:pStyle w:val="Heading2"/>
      </w:pPr>
      <w:r>
        <w:t>Erwägungen</w:t>
      </w:r>
    </w:p>
    <w:p>
      <w:r>
        <w:rPr>
          <w:b/>
        </w:rPr>
        <w:t>E. 1</w:t>
      </w:r>
    </w:p>
    <w:p>
      <w:r>
        <w:t>Die Gesuchstellerin und Beschwerdegegnerin (fortan Gesuchstellerin) ver- pachtete der Gesuchsgegnerin und Beschwerdeführerin (fortan Gesuchsgegne- rin) mit Pachtvertrag vom 1. Januar 2010 (fortan Pachtvertrag) einen Teil der Par- zelle Kat.-Nr. 1 (neu 2) an der C._____-strasse in B._____ als Lagerplatz (Urk. 24/3). Nach erfolgter Kündigung des Pachtvertrages schlossen die Parteien am 25. Januar 2019 unter Mitwirkung der Schlichtungsbehörde des Bezirks Diels- dorf einen Vergleich (Urk. 19/12), der ins Dispositiv des gleichentags ergangenen Abschreibungsbeschluss der Schlichtungsbehörde übernommen wurde (Urk. 19/13).</w:t>
      </w:r>
    </w:p>
    <w:p>
      <w:r>
        <w:rPr>
          <w:b/>
        </w:rPr>
        <w:t>E. 2</w:t>
      </w:r>
    </w:p>
    <w:p>
      <w:r>
        <w:t>Der streitgegenständliche Teil des Vergleichs lautet wie folgt (Urk. 19/12): "2. […] Die Klägerin [Gesuchsgegnerin] verpflichtet sich, das oben genann- te Pachtobjekt bis spätestens am 30. Juni 2019 vollständig geräumt, in ordnungsgemässem und zurückgebauten Zustand (vgl. Ziff. 4 des Pachtvertrages) an die Beklagte [Gesuchstellerin] zurückzugeben." In Ziffer 4 des Pachtvertrages vereinbarten die Parteien in Bezug auf die Rückga- be des Pachtobjekts Folgendes (Urk. 24/3 S. 1): "4. Bauten […] Bei einer allfälligen Kündigung des Vertragsverhältnisses müssen alle Gebäudeteile zu Lasten der Pächterin [Gesuchsgegnerin] vollstän- dig beseitigt werden. Das Areal ist der Verpächterin [Gesuchstellerin] in seinem ursprünglichen Zustand zurückzugeben."</w:t>
      </w:r>
    </w:p>
    <w:p>
      <w:r>
        <w:rPr>
          <w:b/>
        </w:rPr>
        <w:t>E. 3</w:t>
      </w:r>
    </w:p>
    <w:p>
      <w:r>
        <w:t>Nachdem die Gesuchsgegnerin das Pachtobjekt zum vereinbarten Zeitpunkt nicht zurück gegeben hatte, machte die Gesuchstellerin mit Gesuch vom 10. Juli 2019 gestützt auf den Beschluss vom 25. Januar 2019 ein Vollstreckungsverfah- ren bei der Vorinstanz anhängig (Urk. 1). Zur Prozessgeschichte des vorinstanzli- chen Verfahrens kann auf die Ausführungen im angefochtenen Entscheid verwie- sen werden (Urk. 18 S. 2 f. = Urk. 21 S. 2 f.). Mit Urteil vom 24. September 2019 entschied die Vorinstanz das Folgende (Urk. 21 S. 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