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RV190006 vom 15. Oktober 2019</w:t>
      </w:r>
    </w:p>
    <w:p>
      <w:r>
        <w:t>ZH Obergericht, 2019-10-15, DE</w:t>
      </w:r>
    </w:p>
    <w:p>
      <w:r>
        <w:rPr>
          <w:b/>
        </w:rPr>
        <w:t xml:space="preserve">Quelle: </w:t>
      </w:r>
      <w:r>
        <w:t>https://mcp.opencaselaw.ch/entscheid/zh_obergericht_RV190006</w:t>
      </w:r>
    </w:p>
    <w:p>
      <w:r>
        <w:t>FR: ZH_OBERGERICHT RV190006 du 15 octobre 2019</w:t>
      </w:r>
    </w:p>
    <w:p>
      <w:r>
        <w:t>IT: ZH_OBERGERICHT RV190006 del 15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Mit Eingabe vom 14. Februar 2019 stellte der Gesuchsteller und Beschwer- deführer (fortan Gesuchsteller) vor Vorinstanz folgendes Vollstreckungsgesuch (Urk. 1 S. 2): "1. Es sei der Gesuchsgegnerin zu befehlen, das Motorfahrzeug Jaguar X- Type 3.0 Exec. Estate, silbergrau, mit dem Kontrollschild ZH … dem Gesuchsteller gemäss Verfügung und Urteil vom 26. November 2018 an jedem Dienstag und jedem Freitag sowie an jedem zweiten Samstag in ungeraden Kalenderwochen zur freien Verfügung zu überlassen.</w:t>
      </w:r>
    </w:p>
    <w:p>
      <w:r>
        <w:rPr>
          <w:b/>
        </w:rPr>
        <w:t>E. 1.2</w:t>
      </w:r>
    </w:p>
    <w:p>
      <w:r>
        <w:t>Nach Durchführung des Verfahrens entschied die Vorinstanz mit Verfügung und Urteil vom 6. Juni 2019 über das Vollstreckungsbegehren wie folgt (Urk. 26 S. 2 f.; Urk. 30 S. 6 f. = Urk. 33 S. 6 f.):</w:t>
      </w:r>
    </w:p>
    <w:p>
      <w:r>
        <w:rPr>
          <w:b/>
        </w:rPr>
        <w:t>E. 2</w:t>
      </w:r>
    </w:p>
    <w:p>
      <w:r>
        <w:t>Das Motorfahrzeug sei dem Gesuchsteller an seinem Wohnort zu über- lassen, wobei der Zweitschlüssel in seinem Besitz verbleibt.</w:t>
      </w:r>
    </w:p>
    <w:p>
      <w:r>
        <w:rPr>
          <w:b/>
        </w:rPr>
        <w:t>E. 3</w:t>
      </w:r>
    </w:p>
    <w:p>
      <w:r>
        <w:t>Es sei der Gesuchsgegnerin zu befehlen, den Kaschmirmantel gemäss Verfügung und Urteil vom 26. November 2018 herauszugeben.</w:t>
      </w:r>
    </w:p>
    <w:p>
      <w:r>
        <w:rPr>
          <w:b/>
        </w:rPr>
        <w:t>E. 4</w:t>
      </w:r>
    </w:p>
    <w:p>
      <w:r>
        <w:t>Die Anordnung sei mit der Androhung zu verbinden, dass die zuständi- ge Behörde im Unterlassungsfall mit der zwangsweisen Übergabe be- auftragt wird, sowie mit der Androhung von Strafe wegen Ungehorsams gegen amtliche Verfügungen (Art. 292 StGB).</w:t>
      </w:r>
    </w:p>
    <w:p>
      <w:r>
        <w:rPr>
          <w:b/>
        </w:rPr>
        <w:t>E. 5</w:t>
      </w:r>
    </w:p>
    <w:p>
      <w:r>
        <w:t>Das zuständige Gemeindeammannamt sei anzuweisen, die Verpflich- tung der Gesuchsgegnerin gemäss Ziff. 1, 2 und 3 nach Eintritt der Rechtskraft des Urteils und auf Verlangen des Gesuchstellers zu voll- strecken, nötigenfalls unter Beizug der Polizei.</w:t>
      </w:r>
    </w:p>
    <w:p>
      <w:r>
        <w:rPr>
          <w:b/>
        </w:rPr>
        <w:t>E. 6</w:t>
      </w:r>
    </w:p>
    <w:p>
      <w:r>
        <w:t>Die Kosten- und Entschädigungsfolgen zuzüglich 7.7% Mehrwertsteuer seien der Gesuchsgegnerin aufzuerlegen."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