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RV180008 vom 12. Juni 2018</w:t>
      </w:r>
    </w:p>
    <w:p>
      <w:r>
        <w:t>ZH Obergericht, 2018-06-12, DE</w:t>
      </w:r>
    </w:p>
    <w:p>
      <w:r>
        <w:rPr>
          <w:b/>
        </w:rPr>
        <w:t xml:space="preserve">Quelle: </w:t>
      </w:r>
      <w:r>
        <w:t>https://mcp.opencaselaw.ch/entscheid/zh_obergericht_RV180008</w:t>
      </w:r>
    </w:p>
    <w:p>
      <w:r>
        <w:t>FR: ZH_OBERGERICHT RV180008 du 12 juin 2018</w:t>
      </w:r>
    </w:p>
    <w:p>
      <w:r>
        <w:t>IT: ZH_OBERGERICHT RV180008 del 12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31. Januar 2018 verlangte der Gesuchsteller und Be- schwerdegegner (fortan Gesuchsteller) die Vollstreckung von Dispositiv-Ziffer 2 des Eheschutzurteils vom 3. Oktober 2016, wonach sich die Gesuchsgegnerin und Beschwerdeführerin (fortan Gesuchsgegnerin) verpflichtet hatte, die eheliche Wohnung bis spätestens 31. März 2017 zu verlassen (Urk. 1 in Verbindung mit Urk. 4/23).</w:t>
      </w:r>
    </w:p>
    <w:p>
      <w:r>
        <w:rPr>
          <w:b/>
        </w:rPr>
        <w:t>E. 2</w:t>
      </w:r>
    </w:p>
    <w:p>
      <w:r>
        <w:t>Das Gemeindeammannamt …-D._____ wird angewiesen, ab dem 31. Juli 2018 auf erstes Verlangen des Gesuchstellers die Verpflichtung der Gesuchsgegnerin gemäss Ziffer 1 dieses Urteils zu vollstrecken, nötigenfalls unter Beizug der Polizei. Die Kos- ten für die Vollstreckung sind von dem Gesuchsteller vorzuschiessen, sie sind ihm aber von der Gesuchsgegnerin zu ersetzen.</w:t>
      </w:r>
    </w:p>
    <w:p>
      <w:r>
        <w:rPr>
          <w:b/>
        </w:rPr>
        <w:t>E. 3</w:t>
      </w:r>
    </w:p>
    <w:p>
      <w:r>
        <w:t>Die Entscheidgebühr wird auf Fr. 350.– festgesetzt.</w:t>
      </w:r>
    </w:p>
    <w:p>
      <w:r>
        <w:rPr>
          <w:b/>
        </w:rPr>
        <w:t>E. 4</w:t>
      </w:r>
    </w:p>
    <w:p>
      <w:r>
        <w:t>Die Gerichtskosten werden der Gesuchsgegnerin auferlegt, jedoch mit dem vom Ge- suchsteller geleisteten Kostenvorschuss verrechnet. Die Gesuchsgegnerin wird ver- pflichtet, dem Gesuchsteller diesen Betrag (Fr. 350.–) zu ersetzen.</w:t>
      </w:r>
    </w:p>
    <w:p>
      <w:r>
        <w:rPr>
          <w:b/>
        </w:rPr>
        <w:t>E. 5</w:t>
      </w:r>
    </w:p>
    <w:p>
      <w:r>
        <w:t>Es werden keine Parteientschädigungen zugesprochen.</w:t>
      </w:r>
    </w:p>
    <w:p>
      <w:r>
        <w:rPr>
          <w:b/>
        </w:rPr>
        <w:t>E. 6</w:t>
      </w:r>
    </w:p>
    <w:p>
      <w:r>
        <w:t>… (Schriftliche Mitteilung)</w:t>
      </w:r>
    </w:p>
    <w:p>
      <w:r>
        <w:rPr>
          <w:b/>
        </w:rPr>
        <w:t>E. 7</w:t>
      </w:r>
    </w:p>
    <w:p>
      <w:r>
        <w:t>… (Beschwerde)</w:t>
      </w:r>
    </w:p>
    <w:p>
      <w:r>
        <w:rPr>
          <w:b/>
        </w:rPr>
        <w:t>E. 8</w:t>
      </w:r>
    </w:p>
    <w:p>
      <w:r>
        <w:t>Zusammengefasst erweist sich die vorliegende Beschwerde als offen- sichtlich unzulässig, weshalb darauf nicht einzutreten ist.</w:t>
      </w:r>
    </w:p>
    <w:p>
      <w:r>
        <w:rPr>
          <w:b/>
        </w:rPr>
        <w:t>E. 9</w:t>
      </w:r>
    </w:p>
    <w:p>
      <w:r>
        <w:t>Ausgangsgemäss wird die Gesuchsgegnerin für das Beschwerdever- fahren kostenpflichtig (Art. 106 Abs. 1 ZPO). Der Streitwert wurde von der Vor- instanz auf Fr. 3'900.– festgelegt (Urk. 13 S. 7), was in der Beschwerde unange- fochten blieb. Für das Beschwerdeverfahren ist demzufolge ebenfalls von diesem Streitwert auszugehen. Die Gerichtsgebühr im Beschwerdeverfahren ist daher in</w:t>
      </w:r>
    </w:p>
    <w:p>
      <w:r>
        <w:t>- 6 - Anwendung von § 4 Abs. 1 GebV OG in Verbindung mit § 8 Abs. 1, § 10 Abs. 1 und § 12 Abs. 1 und 2 GebV OG auf Fr. 350.– festzusetzen. Für das Beschwer- deverfahren sind sodann keine Parteientschädigungen zuzusprechen, der Ge- suchsgegnerin infolge ihres Unterliegens, dem Gesuchsteller mangels erheblicher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