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RV160004 vom 15. April 2016</w:t>
      </w:r>
    </w:p>
    <w:p>
      <w:r>
        <w:t>ZH Obergericht, 2016-04-15, DE</w:t>
      </w:r>
    </w:p>
    <w:p>
      <w:r>
        <w:rPr>
          <w:b/>
        </w:rPr>
        <w:t xml:space="preserve">Quelle: </w:t>
      </w:r>
      <w:r>
        <w:t>https://mcp.opencaselaw.ch/entscheid/zh_obergericht_RV160004</w:t>
      </w:r>
    </w:p>
    <w:p>
      <w:r>
        <w:t>FR: ZH_OBERGERICHT RV160004 du 15 avril 2016</w:t>
      </w:r>
    </w:p>
    <w:p>
      <w:r>
        <w:t>IT: ZH_OBERGERICHT RV160004 del 15 aprile 2016</w:t>
      </w:r>
    </w:p>
    <w:p>
      <w:pPr>
        <w:pStyle w:val="Heading2"/>
      </w:pPr>
      <w:r>
        <w:t>Erwägungen</w:t>
      </w:r>
    </w:p>
    <w:p>
      <w:r>
        <w:rPr>
          <w:b/>
        </w:rPr>
        <w:t>E. 1</w:t>
      </w:r>
    </w:p>
    <w:p>
      <w:r>
        <w:t>März 2016 der Gesuchstellerin in der Betreibung Nr. … des Betreibungsamts Wetzikon ZH (Zahlungsbefehl vom 26. Juni 2015) definitive Rechtsöffnung für Fr. 125'857.60 nebst Zinsen, Betreibungskosten sowie Kosten und Entschädigung gemäss diesem Entscheid (RT160051-O, Urk. 41). d) Gegen beide Urteile hat der Gesuchsgegner am 19. März 2016 Be- schwerde erhoben und stellt sinngemäss den Beschwerdeantrag (Urk. 38):</w:t>
      </w:r>
    </w:p>
    <w:p>
      <w:r>
        <w:t>- 3 - Die Urteile des Bezirksgerichts Hinwil vom 1. März 2016 seien aufzuheben. Das Vollstreckbarerklärungs- und das Rechtsöffnungsbegehren der Gesuch- stellerin seien abzuweisen. e) Da zwei verschiedene vorinstanzliche Entscheide angefochten sind, mussten am Obergericht auch zwei entsprechende Beschwerdeverfahren ange- legt werden. Die Beschwerde gegen die Rechtsöffnung trägt die Verfahrensnum- mer RT160051-O, die Beschwerde gegen die Vollstreckbarerklärung die vorlie- gende Verfahrensnummer. f) Die vorinstanzlichen Akten (EB150219-E und EZ150003-E) sowie die- jenigen des Verfahrens EB140302-E der gleichen Parteien (=RT160051-O, Urk. 45) wurden beigezogen. Da sich die Beschwerde sogleich als unbegründet erweist, kann auf die Einholung einer Beschwerdeantwort verzichtet werden (Art. 322 Abs. 1 ZPO).</w:t>
      </w:r>
    </w:p>
    <w:p>
      <w:r>
        <w:rPr>
          <w:b/>
        </w:rPr>
        <w:t>E. 2</w:t>
      </w:r>
    </w:p>
    <w:p>
      <w:r>
        <w:t>a) Die Vorinstanz erwog zusammengefasst, die zu beurteilende Grundschuldbestellungsurkunde vom 15. Juni 2002 sei nach Inkrafttreten des al- ten, aber vor Inkrafttreten des revidierten Lugano-Übereinkommens errichtet wor- den, weshalb das aLugÜ anwendbar sei (Urk. 39 S. 7 f.). Die Grundschuldbestel- lungsurkunde sei von einem Notar, mithin einer mit öffentlichem Glauben verse- henen Person, ausgestellt worden und entspreche damit sowohl den Anforderun- gen des deutschen Rechts als auch dem vertragsautonomen Erfordernis der Be- teiligung einer Behörde. In der Urkunde seien sodann die Schuldner (der Ge- suchsgegner und seine damalige Ehefrau) als auch die Gläubigerin (die Gesuch- stellerin) namentlich bezeichnet und die Urkunde sei dem Gesuchsgegner am 11. März 2005 zugestellt worden; folglich erfülle sie sämtliche Voraussetzungen, welche für die Vollstreckbarkeit erforderlich seien. Demzufolge stelle die vorlie- gende Grundschuldbestellungsurkunde eine öffentliche Urkunde im Sinne des LugÜ dar. Dem Gericht seien sämtliche erforderlichen Dokumente vorgelegt wor- den und es liege auch kein Verstoss gegen den schweizerischen Ordre public vor. Die vorliegende Grundschuldbestellungsurkunde sei daher in der Schweiz für vollstreckbar zu erklären (Urk. 39 S. 8 ff.).</w:t>
      </w:r>
    </w:p>
    <w:p>
      <w:r>
        <w:t>- 4 - b) Mit der Beschwerde können unrichtige Rechtsanwendung und unrichti- ge Feststellung des Sachverhalts geltend gemacht werden (Art. 320 i.V.m. Art. 327a Abs. 1 ZPO). Die Beschwerde ist begründet einzureichen (Art. 321 Abs. 1 ZPO). Dabei bedeutet Geltendmachung, dass in der Beschwerde im Ein- zelnen dargelegt werden muss, was genau am angefochtenen Entscheid unrichtig sein soll; was nicht in dieser Weise beanstandet wird, braucht von der Beschwer- deinstanz nicht überprüft zu werden und hat insofern grundsätzlich Bestand. c) Die Vorbringen des Gesuchsgegners in seiner Beschwerde beschlagen allergrösstenteils die Rechtsöffnung; gegen die angefochtene Vollstreckbarerklä- rung finden sich kaum Beanstandungen. Hierzu macht der Gesuchsgegner gel- tend, dass ein von einem Notar im Auftrag der Bank erstelltes Schriftstück, wel- ches von ihm als Vorbedingung des Hypothekardarlehens habe unterzeichnet werden müssen, mit einem bereits gesprochenen Gerichtsurteil gleichgestellt werde, mache ihn fassungslos. Die Bedeutung der Unterwerfung (unter die sofor- tige Zwangsvollstreckung) sei ihm nie erklärt worden und sei ihm nicht bewusst gewesen; eine Rechtsbelehrung sei nicht dokumentiert und habe auch nicht statt- gefunden (Urk. 38 S. 1 f.). Eine Grundschuldbestellungsurkunde ist nicht das gleiche wie ein Gerichts- entscheid, wird aber hinsichtlich der Vollstreckbarerklärung einem Gerichtsent- scheid gleichgestellt; Grundlage dafür ist aufgrund des Vorbehalts in Art. 1 Abs. 2 IPRG und der entsprechenden Übergangsbestimmungen das alte Lugano-Über- einkommen (vgl. hierzu die entsprechenden vorinstanzlichen Erwägungen, Urk. 39 S. 7 f.). Demgemäss werden in Deutschland aufgenommene und voll- streckbare öffentliche Urkunden auch in der Schweiz für vollstreckbar erklärt, wenn die entsprechenden Voraussetzungen erfüllt sind (vgl. auch hierzu die ent- sprechenden vorinstanzlichen Erwägungen; Urk. 39 S. 8). Den Einwand des Ge- suchsgegners, dass die vorliegende Grundschuldbestellungsurkunde keinen Vermerk über eine Rechtsbelehrung enthalte, hat schon die Vorinstanz mangels Relevanz verworfen (vgl. Urk. 39 S. 9 Erw. 3.2.1); gegen jene Erwägungen wer- den in der Beschwerde keine konkreten Beanstandungen vorgebracht.</w:t>
      </w:r>
    </w:p>
    <w:p>
      <w:r>
        <w:t>- 5 - d) Der Gesuchsgegner macht in der Beschwerde sodann geltend, durch krankheitsbedingte Ausfälle seines Rechtsvertreters habe er sich im vorinstanzli- chen Verfahren nicht persönlich einbringen und habe keine Strategiebesprechung vor Abgabe der Stellungnahme stattfinden können; Fehler hätten so vermieden werden können (Urk. 38 S. 2 f.). Es bleibt unklar, was der Gesuchsgegner daraus ableiten will, namentlich was er hätte weiter vorbringen wollen und welche Fehler derart hätten vermieden werden können. Eine unrichtige Rechtsanwendung oder Sachverhaltsfeststellung ist damit jedenfalls nicht begründet. e) Nach dem Gesagten erweist sich die gegen die Vollstreckbarerklärung gerichtete Beschwerde des Gesuchsgegners als unbegründet. Sie ist demgemäss abzuweisen.</w:t>
      </w:r>
    </w:p>
    <w:p>
      <w:r>
        <w:rPr>
          <w:b/>
        </w:rPr>
        <w:t>E. 3</w:t>
      </w:r>
    </w:p>
    <w:p>
      <w:r>
        <w:t>a) Der Streitwert im Beschwerdeverfahren beträgt Fr. 266'716.-- (vgl. Urk. 39 S. 13). b) Die Gerichtskosten für das Beschwerdeverfahren wären an sich aus- gangsgemäss dem Gesuchsgegner aufzuerlegen (Art. 106 Abs. 1 ZPO). Jedoch ist – auch wenn vom Gesuchsgegner nicht geltend gemacht – nicht zu übersehen, dass das von der Vorinstanz separat geführte Verfahren betreffend Vollstreckbar- erklärung von den Parteien nicht verlangt (vgl. Urk. 1 S. 3 Rz. 2: "Im vorliegenden Fall wird um die (inzidente) Vollstreckung einer deutschen Grundschuldbestellung ersucht") und unnötig (es musste im Rechtsöffnungsverfahren – wie ja eigentlich verlangt – die Vollstreckbarkeit vorfrageweise geprüft werden) gewesen wäre, und damit auch das entsprechende Beschwerdeverfahren. Es rechtfertigt sich daher, die Gerichtskosten für das Beschwerdeverfahren auf die Gerichtskasse zu neh- men bzw. auf eine Kostenerhebung zu verzichten (Art. 107 Abs. 2 ZPO). c) Für das Beschwerdeverfahren sind keine Parteientschädigungen zuzu- sprechen, dem Gesuchsgegner zufolge seines Unterliegens, der Gesuchstellerin mangels relevanter Umtriebe (Art. 95 Abs. 3, Art. 106 Abs. 1 ZPO).</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