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RV160002 vom 11. Februar 2016</w:t>
      </w:r>
    </w:p>
    <w:p>
      <w:r>
        <w:t>ZH Obergericht, 2016-02-11, DE</w:t>
      </w:r>
    </w:p>
    <w:p>
      <w:r>
        <w:rPr>
          <w:b/>
        </w:rPr>
        <w:t xml:space="preserve">Quelle: </w:t>
      </w:r>
      <w:r>
        <w:t>https://mcp.opencaselaw.ch/entscheid/zh_obergericht_RV160002</w:t>
      </w:r>
    </w:p>
    <w:p>
      <w:r>
        <w:t>FR: ZH_OBERGERICHT RV160002 du 11 février 2016</w:t>
      </w:r>
    </w:p>
    <w:p>
      <w:r>
        <w:t>IT: ZH_OBERGERICHT RV160002 del 11 febbraio 2016</w:t>
      </w:r>
    </w:p>
    <w:p>
      <w:pPr>
        <w:pStyle w:val="Heading2"/>
      </w:pPr>
      <w:r>
        <w:t>Erwägungen</w:t>
      </w:r>
    </w:p>
    <w:p>
      <w:r>
        <w:rPr>
          <w:b/>
        </w:rPr>
        <w:t>E. 1</w:t>
      </w:r>
    </w:p>
    <w:p>
      <w:r>
        <w:t>Am 4. Januar 2016 erliess der Vorderrichter folgendes Urteil (Urk. 31 S. 13): "1. Die Gesuchsgegner 1 und 2 werden in Vollstreckung des vor der Schlichtungs- behörde Zürich geschlossenen Vergleichs vom 8. Januar 2015 angewiesen, die 4 ½-Zimmerwohnung Nr. 21, inkl. Kellerabteil, in der Liegenschaft F._____ [Adresse], unverzüglich zu räumen und den Gesuchstellern ordnungsgemäss zu übergeben, unter der Androhung der Zwangsvollstreckung im Unterlassungsfall.</w:t>
      </w:r>
    </w:p>
    <w:p>
      <w:r>
        <w:rPr>
          <w:b/>
        </w:rPr>
        <w:t>E. 2</w:t>
      </w:r>
    </w:p>
    <w:p>
      <w:r>
        <w:t>Das Stadtammannamt Zürich … wird angewiesen, Ziffer 1 des mit einer Voll- streckbarkeitsbescheinigung versehenen Entscheids auf Verlangen der Ge- suchsteller zu vollstrecken. Die Kosten der Vollstreckung sind von den Ge- suchstellern vorzuschiessen. Sie sind ihnen aber von den Gesuchsgegnern 1 und 2 unter solidarischer Haftbarkeit zu ersetzen.</w:t>
      </w:r>
    </w:p>
    <w:p>
      <w:r>
        <w:rPr>
          <w:b/>
        </w:rPr>
        <w:t>E. 3</w:t>
      </w:r>
    </w:p>
    <w:p>
      <w:r>
        <w:t>(Kostenregelung)</w:t>
      </w:r>
    </w:p>
    <w:p>
      <w:r>
        <w:rPr>
          <w:b/>
        </w:rPr>
        <w:t>E. 4</w:t>
      </w:r>
    </w:p>
    <w:p>
      <w:r>
        <w:t>(Parteientschädigung)</w:t>
      </w:r>
    </w:p>
    <w:p>
      <w:r>
        <w:rPr>
          <w:b/>
        </w:rPr>
        <w:t>E. 5</w:t>
      </w:r>
    </w:p>
    <w:p>
      <w:r>
        <w:t>(Mitteilungssatz)</w:t>
      </w:r>
    </w:p>
    <w:p>
      <w:r>
        <w:rPr>
          <w:b/>
        </w:rPr>
        <w:t>E. 6</w:t>
      </w:r>
    </w:p>
    <w:p>
      <w:r>
        <w:t>Schriftliche Mitteilung an die Parteien, an die Gesuchsteller im Doppel für sich und zuhanden des Stadtammannamtes und unter Beilage je eines Doppels von Urk. 29 und 30, sowie an die Vorinstanz, je gegen Empfangs- schein.</w:t>
      </w:r>
    </w:p>
    <w:p>
      <w:r>
        <w:t>- 7 - Die erstinstanzlichen Akten gehen nach unbenütztem Ablauf der Rechtsmit- telfrist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15'810.–. Die Beschwerde an das Bundesgericht hat keine aufschiebende Wirkung. Hinsichtlich des Fristenlaufs gelten die Art. 44 ff. BGG. Zürich, 11. Februar 2016 Obergericht des Kantons Zürich I. Zivilkammer Die Gerichtsschreiberin: lic. iur. P. Kunz Bucheli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