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RV150005 vom 22. September 2015</w:t>
      </w:r>
    </w:p>
    <w:p>
      <w:r>
        <w:t>ZH Obergericht, 2015-09-22, DE</w:t>
      </w:r>
    </w:p>
    <w:p>
      <w:r>
        <w:rPr>
          <w:b/>
        </w:rPr>
        <w:t xml:space="preserve">Quelle: </w:t>
      </w:r>
      <w:r>
        <w:t>https://mcp.opencaselaw.ch/entscheid/zh_obergericht_RV150005</w:t>
      </w:r>
    </w:p>
    <w:p>
      <w:r>
        <w:t>FR: ZH_OBERGERICHT RV150005 du 22 septembre 2015</w:t>
      </w:r>
    </w:p>
    <w:p>
      <w:r>
        <w:t>IT: ZH_OBERGERICHT RV150005 del 22 settembre 2015</w:t>
      </w:r>
    </w:p>
    <w:p>
      <w:pPr>
        <w:pStyle w:val="Heading2"/>
      </w:pPr>
      <w:r>
        <w:t>Erwägungen</w:t>
      </w:r>
    </w:p>
    <w:p>
      <w:r>
        <w:rPr>
          <w:b/>
        </w:rPr>
        <w:t>E. 1</w:t>
      </w:r>
    </w:p>
    <w:p>
      <w:r>
        <w:t>Hintergrund des vorliegenden Prozesses bildet das Urteil der I. Zivilkammer des Obergerichts des Kantons Zürich vom 13. Dezember 2013 in Sachen Erbtei- lung des am tt.mm.2003 verstorbenen C._____. Die Kammer erkannte in Disposi- tiv-Ziffer 1 des Urteils u.a., dass der Willensvollstrecker (B._____ = Gesuchsgeg- ner) angewiesen werde, der Beklagten (= Gesuchstellerin) eine Zahlung von Fr. 806'734.47 auszurichten (Urk. 3/3).</w:t>
      </w:r>
    </w:p>
    <w:p>
      <w:r>
        <w:rPr>
          <w:b/>
        </w:rPr>
        <w:t>E. 2</w:t>
      </w:r>
    </w:p>
    <w:p>
      <w:r>
        <w:t>Der Gesuchsgegner sei zu verpflichten, der Gesuchstellerin einen Verzugszins von 5% auf Fr. 850'067.80 seit dem 2. Februar 2014 zu bezahlen.</w:t>
      </w:r>
    </w:p>
    <w:p>
      <w:r>
        <w:rPr>
          <w:b/>
        </w:rPr>
        <w:t>E. 3</w:t>
      </w:r>
    </w:p>
    <w:p>
      <w:r>
        <w:t>Eventualiter sei das Urteil des Obergerichts des Kantons Zürich vom 13. Dezember 2013 (Geschäfts-Nr. LB120105-U.doc) zu vollstrecken, und es sei der Gesuchsgegner unter der Strafdro- hung von Art. 292 StGB und Anordnung einer Ordnungsbusse von Fr. 1'000.– für jeden Tag der Nichterfüllung zu verpflichten, der Gesuchstellerin aus dem Nachlass von C._____ den Betrag von Fr. 850'067.80 zu bezahlen.</w:t>
      </w:r>
    </w:p>
    <w:p>
      <w:r>
        <w:rPr>
          <w:b/>
        </w:rPr>
        <w:t>E. 4</w:t>
      </w:r>
    </w:p>
    <w:p>
      <w:r>
        <w:t>Der Gesuchsgegner sei persönlich zu verpflichten, der Gesuch- stellerin einen Verzugszins von 5% auf Fr. 850'067.80 seit dem 2. Februar 2014 zu bezahlen.</w:t>
      </w:r>
    </w:p>
    <w:p>
      <w:r>
        <w:rPr>
          <w:b/>
        </w:rPr>
        <w:t>E. 5</w:t>
      </w:r>
    </w:p>
    <w:p>
      <w:r>
        <w:t>Unter Kosten- und Entschädigungsfolge zu Lasten des Gesuchs- gegners." 3. Der Gesuchsgegner beantragte in seiner Stellungnahme vom 3. März 2015, es sei mangels örtlicher und sachlicher Zuständigkeit, eventualiter mangels Vor- aussetzungen für die Gewährung des Rechtsschutzes in klaren Fällen, auf das Gesuch nicht einzutreten, subeventualiter seien die Anträge und Eventualanträge abzuweisen (Urk. 14 S. 2). 4. Am 23. Juni 2015 fällte die Vorinstanz den folgenden Entscheid (Urk. 22 S. 13 f.):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