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RV140013 vom 20. März 2015</w:t>
      </w:r>
    </w:p>
    <w:p>
      <w:r>
        <w:t>ZH Obergericht, 2015-03-20, DE</w:t>
      </w:r>
    </w:p>
    <w:p>
      <w:r>
        <w:rPr>
          <w:b/>
        </w:rPr>
        <w:t xml:space="preserve">Quelle: </w:t>
      </w:r>
      <w:r>
        <w:t>https://mcp.opencaselaw.ch/entscheid/zh_obergericht_RV140013</w:t>
      </w:r>
    </w:p>
    <w:p>
      <w:r>
        <w:t>FR: ZH_OBERGERICHT RV140013 du 20 mars 2015</w:t>
      </w:r>
    </w:p>
    <w:p>
      <w:r>
        <w:t>IT: ZH_OBERGERICHT RV140013 del 20 marzo 2015</w:t>
      </w:r>
    </w:p>
    <w:p>
      <w:pPr>
        <w:pStyle w:val="Heading2"/>
      </w:pPr>
      <w:r>
        <w:t>Erwägungen</w:t>
      </w:r>
    </w:p>
    <w:p>
      <w:r>
        <w:rPr>
          <w:b/>
        </w:rPr>
        <w:t>E. 24</w:t>
      </w:r>
    </w:p>
    <w:p>
      <w:r>
        <w:t>Dezember 2012 um 12.30 Uhr vor dem Wohnhaus der Kinder gestanden sei. Gegen 18.00 Uhr desselben Tages habe er Geschenktüten für die Kinder vor de- ren Wohntür gestellt. Am 25. Dezember 2012 habe er gegen 17.30 Uhr an der Wohnungstür der Kinder geklingelt. 1.2. Der Gesuchsteller und Beschwerdeführer (fortan Gesuchsteller), vertre- ten durch das Amtsgericht Tempelhof-Kreuzberg, handelnd durch die Rechtspfle- gerin B._____, stellte mit Eingabe vom 28. November 2013 bei der Vorinstanz folgendes sinngemässes Rechtsbegehren (Urk. 1): Es sei der Beschluss des Amtsgerichts Tempelhof-Kreuzberg über die Anordnung des Ordnungsgeldes vom 21. Juni 2013 für vollstreckbar zu erklären und anschliessend sei das Ordnungsgeld gegen den Gesuchsgegner zu vollstrecken. 1.3. Nachdem die Vorinstanz dem Gesuchsgegner Gelegenheit zur Stel- lungnahme eingeräumt hatte (Urk. 7), fällte sie am 25. August 2014 folgendes Ur- teil (Urk. 14 = Urk. 17):</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