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RV140010 vom 29. Juli 2014</w:t>
      </w:r>
    </w:p>
    <w:p>
      <w:r>
        <w:t>ZH Obergericht, 2014-07-29, DE</w:t>
      </w:r>
    </w:p>
    <w:p>
      <w:r>
        <w:rPr>
          <w:b/>
        </w:rPr>
        <w:t xml:space="preserve">Quelle: </w:t>
      </w:r>
      <w:r>
        <w:t>https://mcp.opencaselaw.ch/entscheid/zh_obergericht_RV140010</w:t>
      </w:r>
    </w:p>
    <w:p>
      <w:r>
        <w:t>FR: ZH_OBERGERICHT RV140010 du 29 juillet 2014</w:t>
      </w:r>
    </w:p>
    <w:p>
      <w:r>
        <w:t>IT: ZH_OBERGERICHT RV140010 del 29 luglio 2014</w:t>
      </w:r>
    </w:p>
    <w:p>
      <w:pPr>
        <w:pStyle w:val="Heading2"/>
      </w:pPr>
      <w:r>
        <w:t>Erwägungen</w:t>
      </w:r>
    </w:p>
    <w:p>
      <w:r>
        <w:rPr>
          <w:b/>
        </w:rPr>
        <w:t>E. 2</w:t>
      </w:r>
    </w:p>
    <w:p>
      <w:r>
        <w:t>Mit Blick auf das Schreiben der Gesuchstellerin ist davon auszugehen, dass diese – sollten die Sträucher bis zum Ablauf der Beschwerdefrist nicht zu- rückgeschnitten sein – Beschwerde gegen die Verfügung der Vorinstanz vom</w:t>
      </w:r>
    </w:p>
    <w:p>
      <w:r>
        <w:rPr>
          <w:b/>
        </w:rPr>
        <w:t>E. 7</w:t>
      </w:r>
    </w:p>
    <w:p>
      <w:r>
        <w:t>Juli 2014 erheben will. 3.1 Da die Gesuchstellerin die Verfügung der Vorinstanz vom 7. Juli 2014 am 12. Juli 2014 in Empfang genommen hat (Urk. 9), lief die Frist zum Erheben einer Beschwerde am 22. Juli 2014 ab (Art. 142 Abs. 1 ZPO, Art. 143 Abs. 1 ZPO, Art. 145 Abs. 2 lit. b ZPO). Entsprechend ist die am 14. Juli 2014 zur Post gege- bene Eingabe rechtzeitig erfolgt.</w:t>
      </w:r>
    </w:p>
    <w:p>
      <w:r>
        <w:t>- 3 - 3.2 Wie der Gesuchstellerin bereits mit Schreiben vom 16. Juli 2014 mitge- teilt worden ist (Urk. 12), handelt es sich bei der 10-tägigen Frist zum Erheben der Beschwerde um eine gesetzliche Frist, welche nicht erstreckt werden kann (Art. 321 Abs. 2 ZPO in Verbindung mit Art. 144 Abs. 1 ZPO). Damit aber müssen die entsprechenden Rechtsmittelanträge mit der dazugehörigen Begründung ebenso innerhalb der Rechtsmittelfrist eingereicht werden. Dieses Schreiben wur- de seitens der Gesuchstellerin am 21. Juli 2014 und damit noch innert laufender Rechtsmittelfrist entgegengenommen, indes liess sie sich bis zum Ablauf dersel- ben nicht vernehmen. 4.1 Mit der Beschwerde können unrichtige Rechtsanwendung und offen- sichtlich unrichtige Feststellung des Sachverhalts geltend gemacht werden (Art. 320 ZPO). Vorab aber hat die Beschwerdeschrift konkrete Rechtsbegehren zu enthalten – worauf schon in der vorinstanzlichen Rechtsmittelbelehrung hin- gewiesen worden ist (Urk. 11 S. 3 Dispositivziffer 5) –, aus denen eindeutig her- vorgeht, in welchem Umfang der vorinstanzliche Entscheid angefochten wird. Ebenso hat der Beschwerdeführer in der Beschwerdebegründung darzulegen, worauf er seine Legitimation stützt, inwieweit er beschwert ist, auf welchen Be- schwerdegrund (Art. 320 ZPO) er sich beruft und an welchen Mängeln der ange- fochtene Entscheid leidet. Wird diesen Anforderungen nicht Folge geleistet, ist auf die Beschwerde nicht einzutreten, ohne dass eine Nachfrist anzusetzen wäre (Reetz/Theiler in: Sutter-Somm/Hasenböhler/Leuenberger, Kommentar zur Schweizerischen Zivilprozessordnung, 2. Auflage, Zürich/Basel/Genf 2013, Art. 311 N 34 f. i.V.m. Freiburghaus/Afheldt in: Sutter-Somm/Hasenböhler/Leuen- berger, a.a.O., Art. 321 N 14). 4.2 Diesen formellen Anforderungen vermag die Eingabe der Gesuchstel- lerin vom 12. Juli 2014 nicht zu genügen. Sie enthält keine Rechtsbegehren und lässt offen, ob das Dispositiv des angefochtenen Entscheids als Ganzes oder al- lenfalls nur in Teilen aufzuheben sei. Schliesslich fehlt es der Beschwerde auch gänzlich an einer Begründung. Entsprechend ist auf diese nicht einzutreten.</w:t>
      </w:r>
    </w:p>
    <w:p>
      <w:r>
        <w:t>- 4 - 5. Damit erweist sich die Beschwerde als offensichtlich unbegründet bzw. unzulässig, weshalb auf das Einholen einer Beschwerdeantwort der Gegenpartei verzichtet werden kann (Art. 322 Abs. 1 ZPO). 6.1 Die Entscheidgebühr für das Beschwerdeverfahren ist in Anwendung von § 12 Abs. 1 und 2 GebV OG in Verbindung mit § 4 Abs. 1 und 2 GebV OG und § 8 Abs. 1 GebV OG auf Fr. 250.– festzusetzen. Die Kosten sind der unterlie- genden Gesuchstellerin aufzuerlegen (Art. 106 Abs. 1 ZPO). 6.2 Der Gesuchsgegnerin ist mangels relevanter Umtriebe im Beschwer- 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