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RV120014 vom 1. März 2013</w:t>
      </w:r>
    </w:p>
    <w:p>
      <w:r>
        <w:t>ZH Obergericht, 2013-03-01, DE</w:t>
      </w:r>
    </w:p>
    <w:p>
      <w:r>
        <w:rPr>
          <w:b/>
        </w:rPr>
        <w:t xml:space="preserve">Quelle: </w:t>
      </w:r>
      <w:r>
        <w:t>https://mcp.opencaselaw.ch/entscheid/zh_obergericht_RV120014</w:t>
      </w:r>
    </w:p>
    <w:p>
      <w:r>
        <w:t>FR: ZH_OBERGERICHT RV120014 du 1 mars 2013</w:t>
      </w:r>
    </w:p>
    <w:p>
      <w:r>
        <w:t>IT: ZH_OBERGERICHT RV120014 del 1 marzo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a) Die Gesuchstellerin 1 und Beschwerdeführerin (nachfolgend: Gesuch- stellerin 1) ist die offizielle Funktionärin des Strommarktes in D._____ [Staat in Europa]. Sie wurde im Jahre 2000 aufgrund des … Gesetzes … und per Präsidi- aldekret … gegründet. Damals firmierte sie noch unter A1._____ A.E mit dem Geschäftstitel A2._____. Sie gehört zu 51 % dem … Staat [D._____] und zu 49 % der öffentlichen Elektrizitätsgesellschaft E._____. Die Gesuchstellerin 2 mit der Firma F._____ A.E. und dem Geschäftstitel F1._____ ist aus der Abspaltung ei- nes Teilbereichs der damaligen A2._____ (heutige Gesuchstellerin 1) entstanden. Sie nahm am vorinstanzlichen Verfahren teil, hat aber keine Beschwerde erho- ben. b) Die Gesuchsgegnerinnen und Beschwerdegegnerinnen (nachfolgend: Gesuchsgegnerinnen) sind in der Rechtsform … Aktiengesellschaften [des Staa- tes D._____] organisierte Energieversorgungsunternehmen. Die Gesuchsgegne- rin 1 war Inhaberin einer Bewilligung für die Stromversorgung der unabhängigen Energieregulierungsbehörde … und verkaufte den Strom, welchen sie von der Gesuchstellerin 1 bezog, an Endverbraucher weiter. Am 18. Oktober 2006 schloss die Gesuchstellerin 1 mit der Gesuchsgegnerin 1, welche damals noch als B1._____ A.E. firmierte, einen Stromlieferungsvertrag ab. Zwischen den Par- teien ist derzeit in D._____ eine gerichtliche Streitigkeit betreffend die Auslegung und Anwendung ihres zugrunde liegenden Vertragsverhältnisses hängig. Gemäss den Gesuchstellerinnen sind enorme und zu einem Grossteil anerkannte Forde- rungen (über EUR 75 Mio.) zu ihren Gunsten aus diesem Vertrag offen. Die Ge- suchsgegnerinnen machen unter anderem geltend, die Berechnungsmethode der Gesuchstellerin 1 zur Bestimmung des Strompreises sei fehlerhaft. Am 23. No- vember 2011 wurde der Bereich Retail-Stromhandel von der Gesuchsgegnerin 1 abgespalten und auf die Gesuchsgegnerin 2 (die zu diesem Zeitpunkt als C1._____ A.E. firmierte) übertragen. Es sind an diesem Datum sämtliche Verbind-</w:t>
      </w:r>
    </w:p>
    <w:p>
      <w:r>
        <w:t>- 3 - lichkeiten der Gesuchsgegnerin 1 aus diesem Bereich auf die Gesuchsgegnerin 2 übergegangen. Entsprechend bestehen gemäss den Behauptungen der Gesuch- stellerinnen heute Forderungen in der Höhe von mindestens EUR 23 Mio. gegen- über der Gesuchsgegnerin 2.</w:t>
      </w:r>
    </w:p>
    <w:p>
      <w:r>
        <w:rPr>
          <w:b/>
        </w:rPr>
        <w:t>E. 2</w:t>
      </w:r>
    </w:p>
    <w:p>
      <w:r>
        <w:t>a) Am 28. November 2011 reichte die Gesuchstellerin 1 am Landgericht G._____ ein Gesuch um Erlass einer einstweiligen Verfügung gegen die Ge- suchsgegnerin 1 ein. Am 23. Januar 2012 fand in diesem Verfahren eine mündli- che Verhandlung statt, an der die Gesuchsgegnerin 1 teilnahm und sich äusserte. Mit Entscheid des Einzelrichters am Landgericht G._____ vom 23. Januar 2012 wurde der Gesuchsgegnerin 1 vorläufig jede Änderung der Rechts- und Sachlage ihrer Vermögenswerte bis zu einem Betrag von EUR 25 Mio. verboten. Dies ge- schah unter der Bedingung, dass am 6. Juni 2012 die Gerichtsverhandlung statt- finde (Urk. 4/9). b) Da diese Anordnung nach der Abspaltung der Gesuchsgegnerin 2 von der Gesuchsgegnerin 1 und des damit einhergehenden Forderungsübergangs erging, wovon die Gesuchstellerin 1 gemäss ihrer Sachdarstellung zum Zeitpunkt der Gesuchseinreichung keine Kenntnis hatte, reichte sie am 26. Januar 2012 ein weiteres, gegen die Gesuchsgegnerinnen 1 und 2 gerichtetes Gesuch ein. Am 27. Januar 2012 fand diesbezüglich eine mündliche Verhandlung statt. Die Ge- suchsgegnerinnen nahmen an der Verhandlung nicht teil. Gleichentags entschied der Einzelrichter am Landgericht G._____, dass den Gesuchsgegnerinnen vorläu- fig jede Änderung der Rechts- und Sachlage ihrer Vermögenswerte verboten werde. Dies geschah erneut unter der Bedingung, dass am 6. Juni 2012 die Ge- richtsverhandlung stattfinde. Betragsmässig enthielt die zweite vorläufige Anord- nung keine Beschränkung mehr (Urk. 4/12). c) Die ursprünglich auf den 6. Juni 2012 angesetzte Verhandlung wurde auf Ersuchen der Gesuchstellerin 1 auf den 29. Mai 2012 vorverlegt. Anlässlich der Verhandlung äusserten sich die Gesuchsgegnerinnen zur Sache. Mit handschrift- lichem Vermerk auf der Klageschrift der Gesuchstellerin 1 verfügte der Einzelrich- ter gleichentags, dass die vorsorglichen Anordnungen bis zum Entscheid über die Anträge der Gesuchstellerin 1 aufrecht erhalten blieben, und stellte klar, dass vom</w:t>
      </w:r>
    </w:p>
    <w:p>
      <w:r>
        <w:t>- 4 - Verbot auch sämtliche Kontobewegungen erfasst seien. Ebenfalls handschriftlich wurde die Intervention der Gesuchstellerin 2 vorgemerkt (Urk. 4/15). d) Am 25. Juni 2012 erging schliesslich der definitive Massnahmeentscheid des Landgerichts G._____ mit der Urteilsnummer 5908/2012. Der Einzelrichter hiess die Anträge der Gesuchstellerin 1 teilweise gut und ordnete den vorläufigen Arrest gegen das Vermögen der Gesuchsgegnerin 1 bis zum Betrag von insge- samt EUR 35 Mio. sowie den vorläufigen Arrest gegen das Vermögen der Ge- suchsgegnerin 2 bis zum Betrag von EUR 17 Mio. an. Weiter gab der Einzelrich- ter der Hauptintervention der Gesuchstellerin 2 teilweise statt und ordnete den vorläufigen Arrest gegen das Vermögen der Gesuchsgegnerin 1 bis zum Betrag von insgesamt EUR 16 Mio. sowie den vorläufigen Arrest gegen das Vermögen der Gesuchsgegnerin 2 bis zum Betrag von EUR 7 Mio. an (Urk. 4/18).</w:t>
      </w:r>
    </w:p>
    <w:p>
      <w:r>
        <w:rPr>
          <w:b/>
        </w:rPr>
        <w:t>E. 3</w:t>
      </w:r>
    </w:p>
    <w:p>
      <w:r>
        <w:t>Die Gesuchsgegnerinnen haben je eine Bankbeziehung zur (vormals) H._____ AG, welche zufolge Fusion von der I._____ AG übernommen wurde. Die Gesuchstellerinnen versuchten daher, die verschiedenen Anordnungen des Landgerichts G._____ jeweils auch in der Schweiz durchzusetzen. Es kam zu di- versen Verfahren betreffend Vollstreckbarerklärung und Erlass von Sicherungs- massnahmen nach dem Übereinkommen über die gerichtliche Zuständigkeit und die Anerkennung und Vollstreckung von Entscheidungen in Zivil- und Handelssa- chen (Lugano-Übereinkommen, LugÜ) vor dem Einzelgericht Audienz am Be- zirksgericht Zürich, woraus auch bereits zwei Beschwerdeverfahren vor der Kammer resultierten (Geschäfts-Nr. RV120001 und RV120002). Zuletzt erklärte das Einzelgericht Audienz den definitiven Massnahmeentscheid des Landgerichts G._____ vom 25. Juni 2012 für vollstreckbar (Urteil EZ120044 vom 19. Juli 2012, Urk. 4/21). Dieser Entscheid blieb unangefochten. Mit Eingabe vom 8. November 2012 leiteten die Gesuchstellerinnen das vorliegende Verfahren ein und beantrag- ten beim Einzelgericht Audienz (nachfolgend: Vorinstanz) zusätzlich den Erlass entsprechender Sicherungsmassnahmen nach Art. 47 Ziff. 2 LugÜ. Für den Ver- lauf des erstinstanzlichen Verfahrens kann auf die Ausführungen der Vorinstanz verwiesen werden. Mit Urteil vom 19. November 2012 (Urk. 6 = 10) wies die Vor- instanz die Begehren der Gesuchstellerinnen ab.</w:t>
      </w:r>
    </w:p>
    <w:p>
      <w:r>
        <w:t>- 5 -</w:t>
      </w:r>
    </w:p>
    <w:p>
      <w:r>
        <w:rPr>
          <w:b/>
        </w:rPr>
        <w:t>E. 4</w:t>
      </w:r>
    </w:p>
    <w:p>
      <w:r>
        <w:t>a) Das Einzelgericht Audienz ging in seinem Entscheid vom 19. Juli 2012 wohl zu Recht davon aus, dass der … Arrest als vorsorgliche Massnahme eine Entscheidung im Sinne von Art. 32 LugÜ darstellt, die in der Schweiz nach Art. 38 LugÜ vollstreckt werden kann (vgl. bezüglich einer englischen "Freezing Injunc- tion": BGE 129 III 626; vgl. auch bezüglich eines italienischen "Sequestro conser- vativo": BGE 135 III 670). Inwieweit die Vollstreckbarerklärung für die Gesuchstel- lerinnen bereits von konkretem Nutzen ist, hängt von den Folgen einer Verletzung der angeblichen Verfügungsverbote in der Schweiz aus der Sicht des … Richters [des Staates D._____] ab. Ob dieser die vorsätzliche Beihilfe einer Schweizer Bank zum Verstoss gegen die … Arrestentscheidung strafrechtlich ahnden würde, kann aus schweizerischer Sicht kaum beurteilt werden. Zumindest nach der Dar- stellung der Gesuchstellerinnen genügte dafür wohl bereits die "nackte" Voll- streckbarerklärung. b) Hinzu kommt jedoch die Problematik, dass ein schweizerisches Finanzin- stitut unter Umständen für die … Justiz [des Staates D._____] gar nicht greifbar ist. Im Zusammenhang mit der Umsetzung englischer "Freezing Injunctions" ins schweizerische Recht wird daher das zusätzliche Aussprechen eines Verbots un- ter Strafandrohung nach Art. 292 StGB durch den Schweizer Richter postuliert. Erst durch die Anordnung strafbewehrter Massnahmen wird die englische "Free- zing Injunction" in der Schweiz vollständig und wirksam umgesetzt (vgl. dazu statt vieler: Bernet, Englische Freezing (Mareva) Orders – Praktische Fragen der An- erkennung und Vollstreckung in der Schweiz, in: Spühler, Internationales Zivilpro- zess- und Verfahrensrecht, Zürich 2001, S. 51 ff., S. 68 ff.). Dabei sind Massnah-</w:t>
      </w:r>
    </w:p>
    <w:p>
      <w:r>
        <w:t>- 9 - men gegenüber dritten Personen, insbesondere gegenüber Banken, nicht grund- sätzlich unzulässig (OGer ZH NL040037 vom 21. März 2005 E. 3). c) Die Gesuchstellerin 1 verlangt nun aber ausdrücklich keine Strafdrohung nach Art. 292 StGB. Sie will im Ergebnis einzig, dass die … Anordnungen in die schweizerische Amtssprache "übersetzt" werden, und verlangt daher, dass ent- sprechende Verbote gegenüber den Gesuchsgegnerinnen und der I._____ aus- gesprochen werden. Es ist nicht ersichtlich, welcher zusätzliche Nutzen die anbe- gehrten Verbote für die Gesuchstellerin 1 mit sich bringen sollten, nachdem der definitive Massnahmeentscheid vom 25. Juni 2012 in der Schweiz bereits für voll- streckbar erklärt wurde. Mit der Vollstreckbarerklärung wurden der … [des Staa- tes D._____] Entscheidung in der Schweiz diejenigen Wirkungen verliehen, die ihr in D._____ zukommen (vgl. BSK-Hofmann/Kunz, Art. 38 LugÜ N 237). Gemäss gesuchstellerischer Darstellung sollte den Gesuchsgegnerinnen somit jede Verfü- gung über ihre Vermögenswerte bis zu den genannten Beträgen verboten sein, und auch Drittpersonen, die im Wissen um diese Verbote an einer Vermögens- disposition mitwirkten, drohten (in D._____) strafrechtliche Konsequenzen. Inso- fern soll bereits Verbotenes verboten werden, ohne dass sich in Bezug auf die Durchsetzung der Verbote in der Schweiz irgendetwas ändern würde. Daran be- steht kein Rechtsschutzinteresse. Dass bezüglich der Tragweite der fraglichen Ar- restentscheidung offenbar gewisse Unklarheiten und Differenzen bestehen, na- mentlich auch zwischen den Gesuchstellerinnen und der I._____ (vgl. Urk. 1 S. 15 f. Urk. 4/25-30), ändert nichts daran, dass es nicht Aufgabe eines schweizeri- schen Gerichts sein kann, einen ausländischen Entscheid zu erläutern.</w:t>
      </w:r>
    </w:p>
    <w:p>
      <w:r>
        <w:rPr>
          <w:b/>
        </w:rPr>
        <w:t>E. 5</w:t>
      </w:r>
    </w:p>
    <w:p>
      <w:r>
        <w:t>Da es der Gesuchstellerin 1 nach dem Gesagten an einem genügenden Rechtsschutzinteresse in Bezug auf die anbegehrten Sicherungsmassnahmen gebricht, ist auf das Gesuch nicht einzutreten (Art. 59 Abs. 1 ZPO). III. 1. Auch bei diesem Verfahrensausgang wird die Gesuchstellerin 1 kosten- und entschädigungspflichtig (Art. 106 Abs. 1 ZPO). Auf den Streitwert darf bei der</w:t>
      </w:r>
    </w:p>
    <w:p>
      <w:r>
        <w:t>- 10 - Festsetzung der Höhe der Gerichtskosten nicht abgestellt werden (Art. 52 LugÜ). Die Gebühr ist aufgrund des Schwierigkeitsgrades, des Zeitaufwandes und der Verantwortung festzusetzen (BSK-Hofmann/Kunz, Art. 52 LugÜ N 16). Die Partei- entschädigungen werden indessen nicht von Art. 52 LugÜ erfasst. Es ist diesbe- züglich die Verordnung über die Anwaltsgebühren vom 8. September 2010 (An- wGebV) heranzuziehen. Der Streitwert der Beschwerde gegen die Gesuchsgeg- nerin 1 beläuft sich auf EUR 35 Mio. (rund Fr. 42.9 Mio.), derjenige der Be- schwerde gegen die Gesuchsgegnerin 2 auf EUR 17 Mio. (rund Fr. 20.8 Mio.). 2. Nachdem die Höhe der erstinstanzlichen Gerichtsgebühr von Fr. 4'000.– nicht moniert wurde und auch nicht beanstandet wurde, dass den Gesuchsgegne- rinnen mangels Aufwands keine Parteientschädigung zugesprochen wurde, sind die erstinstanzlichen Kosten- und Entschädigungsfolgen so zu belassen. 3. Für das Beschwerdeverfahren erscheint aufgrund der vorab angeführten Kriterien eine Gerichtsgebühr von Fr. 4'000.– als angemessen. Gestützt auf § 13 Abs. 2 in Verbindung mit § 4 Abs. 1 und 2 und § 9 AnwGebV erscheint es ange- messen, die Parteientschädigung für die Gesuchsgegnerin 1 auf Fr. 36'000.– und diejenige für die Gesuchsgegnerin 2 auf Fr. 21'000.– festzusetzen. Es wird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