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RV110006 vom 7. November 2012</w:t>
      </w:r>
    </w:p>
    <w:p>
      <w:r>
        <w:t>ZH Obergericht, 2012-11-07, DE</w:t>
      </w:r>
    </w:p>
    <w:p>
      <w:r>
        <w:rPr>
          <w:b/>
        </w:rPr>
        <w:t xml:space="preserve">Quelle: </w:t>
      </w:r>
      <w:r>
        <w:t>https://mcp.opencaselaw.ch/entscheid/zh_obergericht_RV110006</w:t>
      </w:r>
    </w:p>
    <w:p>
      <w:r>
        <w:t>FR: ZH_OBERGERICHT RV110006 du 7 novembre 2012</w:t>
      </w:r>
    </w:p>
    <w:p>
      <w:r>
        <w:t>IT: ZH_OBERGERICHT RV110006 del 7 novembre 2012</w:t>
      </w:r>
    </w:p>
    <w:p>
      <w:pPr>
        <w:pStyle w:val="Heading2"/>
      </w:pPr>
      <w:r>
        <w:t>Erwägungen</w:t>
      </w:r>
    </w:p>
    <w:p>
      <w:r>
        <w:rPr>
          <w:b/>
        </w:rPr>
        <w:t>E. 1</w:t>
      </w:r>
    </w:p>
    <w:p>
      <w:r>
        <w:t>Die Klägerin ist die schweizerische IPRG-Konkursmasse der am tt.mm.2001 in Konkurs geratenen belgischen Luftfahrtgesellschaft A._____ SA ("A._____"; Art. 170 IPRG; Urk. 4/3). Die B._____ war eine im Jahr 1997 gegründete Tochtergesellschaft der C._____. Diese war – ebenfalls 1997 – durch Änderung der Firma aus der D._____ Aktiengesellschaft hervorgegangen. Am 5. Oktober 2001 wurde der B._____ und der C._____ die provisorische Nachlassstundung bewilligt und am 20. Juni 2003 der Nachlassvertrag mit Vermögensabtretung (Art. 317 SchKG) bestätigt. Die Beklagten sind die Massen dieser beiden Gesellschaften in Nachlassliquidation (Art. 319 SchKG).</w:t>
      </w:r>
    </w:p>
    <w:p>
      <w:r>
        <w:rPr>
          <w:b/>
        </w:rPr>
        <w:t>E. 2</w:t>
      </w:r>
    </w:p>
    <w:p>
      <w:r>
        <w:t>In Belgien ist vor der Cour d'appel de Bruxelles (unter der Referenz R.G. 2004/AR/1114 und 2004/AR/1190) ein Zivilprozess hängig, der zum Gegenstand hat, ob (u.a.) die C._____ und die B._____ im Zusammenhang mit der kommerziellen Kooperation zwischen dem BC._____-Konzern und der A._____ vertragliche und/oder ausservertragliche Verpflichtungen verletzt haben respektive ob dadurch eine Schadenersatzpflicht ausgelöst wurde. Am 27. Januar 2011 erging ein Vorentscheid der Cour d'appel de Bruxelles, dessen Dispositivziffer 7 wörtlich wie folgt lautet (Urk. 4/2, 114ième feuillet): " 7. Sur la demande de A._____ dirigée contre C._____ et B._____ en liquidation: a. dit pour droit qu'en n'exécutant pas la convention du 2 août 2001, C._____ et B._____ sont directement responsables de la faillite de A._____ ;</w:t>
      </w:r>
    </w:p>
    <w:p>
      <w:r>
        <w:t>- 3 - b. fixe le montant du dommage en relation causale avec cette faute au passif de discontinuité engendré par l'ouverture de la faillite ; c. condamne solidairement C._____ et B._____ en liquidation à payer à la masse faillie de A._____ la somme provisionnelle de 18.290.800,60 € ; d. ordonne la réouverture des débats afin de permettre aux curateurs de A._____ de préciser plus amplement le montant du passif de discontinuité et aux parties d'en débattre ; e. dit qu'il appartiendra aux curateurs de A._____ de solliciter une nouvelle fixation et un calendrier d'échange de conclusions lorsque toutes les créances relatives au passif de discontinuité auront été admises au passif de la faillite ; f. […]" Zusammenfassend und frei übersetzt wird in Dispositivziffer 7 lit. a festgestellt, es seien C._____ und B._____ direkt für den Konkurs von A._____ verantwortlich, da sie die Vereinbarung vom 2. August 2001 (… Agreement) nicht erfüllt hätten. In Dispositivziffer 7 lit. b hält der Gerichtshof fest, dass der kausal daraus resultierende Schaden der Passivenzunahme aufgrund der Eröffnung des Konkurses A:_____ entspreche (sog. Diskontinuitätsschaden). Sodann werden in Dispositivziffer 7 lit. c C._____ und B._____ unter solidarischer Haftbarkeit verpflichtet, an die Konkursmasse A._____ – einstweilen – die Summe von EUR 18'290'800.60 zu bezahlen. Und schliesslich wird in Dispositivziffer 7 lit. d die Wiedereröffnung des kontradiktorischen Verfahrens zur genaueren Substan- tiierung und Verhandlung des Quantitativs angeordnet, für dessen Fortgang in Dispositivziffer 7 lit. e weitere Modalitäten aufgestellt werden (Obliegenheiten der Konkursverwaltung A._____).</w:t>
      </w:r>
    </w:p>
    <w:p>
      <w:r>
        <w:rPr>
          <w:b/>
        </w:rPr>
        <w:t>E. 3</w:t>
      </w:r>
    </w:p>
    <w:p>
      <w:r>
        <w:t>Im vorliegenden Verfahren geht es um die (selbstständige) Anerkennung und Vollstreckbarerklärung des erwähnten Entscheids der Cour d'appel de Bruxelles vom 27. Januar 2011 auf dem Gebiet der Schweiz.</w:t>
      </w:r>
    </w:p>
    <w:p>
      <w:r>
        <w:t>- 4 - II. Verfahrensgang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