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RU260004 vom 4. Februar 2026</w:t>
      </w:r>
    </w:p>
    <w:p>
      <w:r>
        <w:t>ZH Obergericht, 2026-02-04, DE</w:t>
      </w:r>
    </w:p>
    <w:p>
      <w:r>
        <w:rPr>
          <w:b/>
        </w:rPr>
        <w:t xml:space="preserve">Quelle: </w:t>
      </w:r>
      <w:r>
        <w:t>https://mcp.opencaselaw.ch/entscheid/zh_obergericht_RU260004</w:t>
      </w:r>
    </w:p>
    <w:p>
      <w:r>
        <w:t>FR: ZH_OBERGERICHT RU260004 du 4 février 2026</w:t>
      </w:r>
    </w:p>
    <w:p>
      <w:r>
        <w:t>IT: ZH_OBERGERICHT RU260004 del 4 febbraio 2026</w:t>
      </w:r>
    </w:p>
    <w:p>
      <w:pPr>
        <w:pStyle w:val="Heading2"/>
      </w:pPr>
      <w:r>
        <w:t>Erwägungen</w:t>
      </w:r>
    </w:p>
    <w:p>
      <w:r>
        <w:rPr>
          <w:b/>
        </w:rPr>
        <w:t>E. 2</w:t>
      </w:r>
    </w:p>
    <w:p>
      <w:r>
        <w:t>Es sei festzuhalten, dass die örtliche zuständige Schlichtungsbe- hörde am Wohnsitz des Beschwerdeführers zuständig ist, und die Sache sei an die zuständige Schlichtungsbehörde im Kanton Waadt (Justice de paix / Autorité de conciliation du district de C._____) zu überweisen.</w:t>
      </w:r>
    </w:p>
    <w:p>
      <w:r>
        <w:rPr>
          <w:b/>
        </w:rPr>
        <w:t>E. 3</w:t>
      </w:r>
    </w:p>
    <w:p>
      <w:r>
        <w:t>Der Beschwerde sei die aufschiebende Wirkung zu erteilen und das Schlichtungsverfahren in Kloten bis zum Entscheid über die Zuständigkeit zu sistieren (Art. 325 Abs. 2 ZPO). Eventualiter sei die Sache zur Neubeurteilung der örtlichen Zu- ständigkeit an die Vorinstanz zurückzuweisen.</w:t>
      </w:r>
    </w:p>
    <w:p>
      <w:r>
        <w:rPr>
          <w:b/>
        </w:rPr>
        <w:t>E. 4</w:t>
      </w:r>
    </w:p>
    <w:p>
      <w:r>
        <w:t>Unter Kosten- und Entschädigungsfolgen zulasten der Beschwer- degegnerin." 1.4. Es wurde ein Aktengesuch an die Vorinstanz gestellt (act. 6). Der Friedens- richter teilte mit, dass er die Akten dem Beschwerdeführer zur Verfügung gestellt und dieser bereits alles eingereicht habe (act. 7). Der Friedensrichter ist darauf hinzuweisen, dass gemäss der Akturierungsverordnung des Obergerichts des Kantons Zürich vom 12. Mai 2010, welche auch für die Friedensrichter gilt, in je- dem Verfahren ein Aktendossier anzulegen ist, in das alle Eingaben und andere Akten in der Reihenfolge ihres Eingangs abzulegen und in ein Aktenverzeichnis einzutragen sind (§ 130 Abs. 1 Satz 1 GOG; § 3 ff. der Akturierungsverordnung des Obergerichts vom 12. Mai 2010, LS 212.513). Lediglich in einfachen Fällen kann von einem Aktenverzeichnis abgesehen werden (§ 130 Abs. 1 Satz 2 GOG; § 6 Akturierungsverordnung). Wird jedoch ein Rechtsmittel erhoben, ist auch dies-</w:t>
      </w:r>
    </w:p>
    <w:p>
      <w:r>
        <w:t>- 3 - falls ein vollständiges Aktenverzeichnis gemäss § 4 f. der Akturierungsverordnung zu führen (§ 6 Abs. 2 Akturierungsverordnung). Es obliegt damit dem Friedens- richter die Akten der Kammer mit Aktenverzeichnis einzureichen, ansonsten sich deren Vollständigkeit nicht überprüfen lässt. Die eingereichten Unterlagen sind vorliegend offensichtlich unvollständig. Vom Schlichtungsgesuch wurden nicht alle Seiten eingereicht (vgl. act. 4/3) und es fehlen insbesondere Empfangsbescheini- gungen der angefochtenen Verfügung, weshalb sich die Rechtzeitigkeit der Be- schwerde nicht überprüfen lässt. Von einem erneuten Aktenbeizugsgesuch kann vorliegend indes abgesehen werden, da auf die Beschwerde – wie sogleich zu zeigen sein wird – ohnehin nicht einzutreten ist. 1.5. Da sogleich ein Endentscheid gefällt werden kann, erübrigt sich ein Ent- scheid über die Anträge auf Erteilung der aufschiebenden Wirkung und Sistierung des Schlichtungsverfahren. Diese Anträge sind abzuschreiben. 2. Das Beschwerdeverfahren richtet sich nach den Art. 319 ff. ZPO. Die Be- schwerde ist bei der Rechtsmittelinstanz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 3. Der Beschwerdeführer bezeichnet seine Eingabe als Beschwerde gegen die Verfügung des Friedensrichteramts Kloten vom 6. Januar 2026. In der Begrün- dung stellt er indes klar, dass er sich nur insofern gegen die Verfügung wende, als dadurch die örtliche Zuständigkeit des Friedensrichteramtes bejaht werde (vgl. act. 2 S. 2). Mit der angefochtenen Verfügung wurde einzig der Beschwerdegeg- nerin Frist zur Leistung eines Kostenvorschusses angesetzt. Diesbezüglich ist der Beschwerdeführer nicht beschwert, weshalb auf eine allfällige Beschwerde nicht einzutreten wäre. Über die örtliche Zuständigkeit des Friedensrichteramtes wurde in der angefochtenen Verfügung hingegen nicht entschieden, weshalb dies auch nicht Gegenstand des Beschwerdeverfahrens sein kann. Sämtliche Vorbringen im</w:t>
      </w:r>
    </w:p>
    <w:p>
      <w:r>
        <w:t>- 4 - Zusammenhang mit der örtlichen Zuständigkeit wird der Beschwerdeführer im vorinstanzlichen Verfahren vorbringen können.</w:t>
      </w:r>
    </w:p>
    <w:p>
      <w:r>
        <w:rPr>
          <w:b/>
        </w:rPr>
        <w:t>E. 4.1</w:t>
      </w:r>
    </w:p>
    <w:p>
      <w:r>
        <w:t>Ausgangsgemäss wird der Beschwerdeführer für das Beschwerdeverfahren kostenpflichtig (Art. 106 Abs. 1 ZPO). In Anwendung von § 12 i.V.m. § 3 und § 9 Abs. 1 GebV OG ist die Entscheidgebühr auf Fr. 100.– festzusetzen.</w:t>
      </w:r>
    </w:p>
    <w:p>
      <w:r>
        <w:rPr>
          <w:b/>
        </w:rPr>
        <w:t>E. 4.2</w:t>
      </w:r>
    </w:p>
    <w:p>
      <w:r>
        <w:t>Im Schlichtungsverfahren sind keine Parteientschädigungen zuzusprechen (Art. 113 Abs. 1 ZPO), was auch für das Rechtsmittelverfahren gilt (vgl. etwa OGer RU170027 vom 5. Juli 2017). Daher fällt eine Parteientschädigung von vornherein ausser Betracht, wäre aber auch mangels zu entschädigender Auf- wendungen der Beschwerdegegnerin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