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RU250044 vom 5. Juni 2025</w:t>
      </w:r>
    </w:p>
    <w:p>
      <w:r>
        <w:t>ZH Obergericht, 2025-06-05, DE</w:t>
      </w:r>
    </w:p>
    <w:p>
      <w:r>
        <w:rPr>
          <w:b/>
        </w:rPr>
        <w:t xml:space="preserve">Quelle: </w:t>
      </w:r>
      <w:r>
        <w:t>https://mcp.opencaselaw.ch/entscheid/zh_obergericht_RU250044</w:t>
      </w:r>
    </w:p>
    <w:p>
      <w:r>
        <w:t>FR: ZH_OBERGERICHT RU250044 du 5 juin 2025</w:t>
      </w:r>
    </w:p>
    <w:p>
      <w:r>
        <w:t>IT: ZH_OBERGERICHT RU250044 del 5 giugno 2025</w:t>
      </w:r>
    </w:p>
    <w:p>
      <w:pPr>
        <w:pStyle w:val="Heading2"/>
      </w:pPr>
      <w:r>
        <w:t>Erwägungen</w:t>
      </w:r>
    </w:p>
    <w:p>
      <w:r>
        <w:rPr>
          <w:b/>
        </w:rPr>
        <w:t>E. 2</w:t>
      </w:r>
    </w:p>
    <w:p>
      <w:r>
        <w:t>Gemäss Art. 321 Abs. 1 ZPO ist die Beschwerde bei der Rechtsmittelinstanz schriftlich und begründet einzureichen. Die Beschwerde führende Partei hat dar- zulegen, an welchen Mängeln der vorinstanzliche Entscheid leidet. Mit anderen Worten hat sie sich mit dem angefochtenen Entscheid auseinanderzusetzen und im Einzelnen aufzuzeigen, aus welchen Gründen er falsch ist (vgl. etwa Hunger- bühler, DIKE-Komm-ZPO, 3. Aufl. 2025, Art. 321 N 21 i.V.m. Art. 311 N 30; ZK ZPO-Freiburghaus/Afheldt, 4. Aufl. 2025, Art. 321 N 15). Bei Parteien ohne an- waltliche Vertretung wird an die Begründungslast ein weniger strenger Massstab angelegt (OGer ZH PS110192 vom 21. Februar 2012 E. 5.1; BK ZPO-Sterchi, Art. 321 N 17 f.; BSK ZPO-Spühler, 4. Aufl. 2025, Art. 321 N 4 i.V.m. Art. 311 N 18; Hungerbühler, DIKE-Komm-ZPO, 3. Aufl. 2025, Art. 321 N 21 i.V.m. Art. 311 N 32; ZK ZPO-Freiburghaus/Afheldt, 4. Aufl. 2025, Art. 321 N 15). Enthält die Beschwerde aber keine Begründung, ist darauf nicht einzutreten (BK ZPO- Sterchi, Art. 321 N 22; Hungerbühler, DIKE-Komm-ZPO, 3. Aufl. 2025, Art. 321 N 21 i.V.m. Art. 311 N 32 und 46).</w:t>
      </w:r>
    </w:p>
    <w:p>
      <w:r>
        <w:t>- 3 -</w:t>
      </w:r>
    </w:p>
    <w:p>
      <w:r>
        <w:rPr>
          <w:b/>
        </w:rPr>
        <w:t>E. 3</w:t>
      </w:r>
    </w:p>
    <w:p>
      <w:r>
        <w:t>Soweit sich die Beschwerde gegen den Kostenvorschuss an sich richtet, bringt der Beschwerdeführer keine Gründe vor, weshalb dessen Einforderung oder dessen Höhe falsch sein sollen. Vielmehr macht er lediglich sinngemäss gel- tend, es würden ihm die Mittel fehlen, um den Kostenvorschuss bezahlen zu kön- nen (vgl. act. 2). Damit macht er keine Fehler des angefochtenen Entscheides geltend, weshalb insofern auf die Beschwerde nicht einzutreten ist. Für die Be- handlung des Gesuches um unentgeltliche Rechtspflege ist die Rechtsmittelins- tanz nicht zuständig; ein solches Gesuch wäre vielmehr beim Einzelgericht des in der Hauptsache örtlich zuständigen Bezirksgerichts (vgl. § 128 GOG ZH), vorlie- gend das Bezirksgericht Zürich, zu stellen. Auch darauf ist folglich nicht einzutre- ten.</w:t>
      </w:r>
    </w:p>
    <w:p>
      <w:r>
        <w:rPr>
          <w:b/>
        </w:rPr>
        <w:t>E. 4</w:t>
      </w:r>
    </w:p>
    <w:p>
      <w:r>
        <w:t>Gestützt auf Art. 143 Abs. 1bis ZPO ist das in der Beschwerde enthaltene Gesuch des Beschwerdeführers um Gewährung der unentgeltliche Rechtspflege zur Behandlung an das zuständige Bezirksgericht Zürich weiterzuleiten. Lediglich der Vollständigkeit halber ist noch anzumerken, dass nach Treu und Glauben je- denfalls bei Laien, welche die Verpflichtung zur Leistung eines Kostenvorschus- ses anfechten, von einem stillschweigend gestellten Gesuch um eventuelle Fris- terstreckung auszugehen ist (OGer ZH PC150007 vom 1. April 2015 E. 5.2 m.w.H.). Die im angefochtenen Beschluss von der Vorinstanz angesetzte Frist konnte daher nicht säumniswirksam ablaufen. Sofern das Gesuch um unentgeltli- che Rechtspflege nicht bewilligt würde, wäre die Frist neu anzusetzen. Erst im Falle des unbenützten Ablaufs der neu angesetzten ersten Frist wäre die Nach- frist im Sinne des Art. 101 Abs. 3 ZPO anzusetzen (vgl. OGer ZH PC150007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