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RU250029 vom 15. April 2025</w:t>
      </w:r>
    </w:p>
    <w:p>
      <w:r>
        <w:t>ZH Obergericht, 2025-04-15, DE</w:t>
      </w:r>
    </w:p>
    <w:p>
      <w:r>
        <w:rPr>
          <w:b/>
        </w:rPr>
        <w:t xml:space="preserve">Quelle: </w:t>
      </w:r>
      <w:r>
        <w:t>https://mcp.opencaselaw.ch/entscheid/zh_obergericht_RU250029</w:t>
      </w:r>
    </w:p>
    <w:p>
      <w:r>
        <w:t>FR: ZH_OBERGERICHT RU250029 du 15 avril 2025</w:t>
      </w:r>
    </w:p>
    <w:p>
      <w:r>
        <w:t>IT: ZH_OBERGERICHT RU250029 del 15 aprile 2025</w:t>
      </w:r>
    </w:p>
    <w:p>
      <w:pPr>
        <w:pStyle w:val="Heading2"/>
      </w:pPr>
      <w:r>
        <w:t>Erwägungen</w:t>
      </w:r>
    </w:p>
    <w:p>
      <w:r>
        <w:rPr>
          <w:b/>
        </w:rPr>
        <w:t>E. 1</w:t>
      </w:r>
    </w:p>
    <w:p>
      <w:r>
        <w:t>a) Mit Eingabe vom 12. Januar 2025 stellte die Klägerin und Beschwerde- gegnerin (fortan Klägerin) beim Friedensrichteramt der Stadt Zürich, Kreise 3 + 9 (= Vorinstanz) das folgende Rechtsbegehren: "Die beklagte Partei sei zu ver- pflichten, der klagenden Partei VBV Ausbildungskosten 3'000.– CHF gemäss Ar- beitsvertrag zurückzuerstatten. Der Rechtsvorschlag in der Betreibung Nr. … des Betreibungsamtes Zürich 9, Hohlstrasse 550, 80 (Zahlungsbefehl vom 29. Okto- ber 2024) sei aufzuheben. Alles unter Kosten- und Entschädigungsfolgen zu Las- ten der beklagten Partei" (Urk. 1 S. 2). Mit Entscheid in unbegründeter Form vom 20. Februar 2025 erkannte die Vorinstanz in Anwendung von Art. 212 Abs. 1 ZPO was folgt (Urk. 16 S. 2): "1. Die beklagte Partei wird verpflichtet, der klagenden Partei CHF 2'000.00 und CHF 74.00 Betreibungskosten zu bezahlen. In der Betreibung Nr. … des Betreibungsamtes Zürich 9 (Zahlungsbefehl vom 24.10.2024) wird der Rechtsvorschlag im Betrag von CHF 2'000.00 aufgeho- ben.</w:t>
      </w:r>
    </w:p>
    <w:p>
      <w:r>
        <w:rPr>
          <w:b/>
        </w:rPr>
        <w:t>E. 2</w:t>
      </w:r>
    </w:p>
    <w:p>
      <w:r>
        <w:t>Die Gerichtsgebühren fallen im Sinne von Art. 113 Abs. 2 lit. d ZPO ausser An- satz.</w:t>
      </w:r>
    </w:p>
    <w:p>
      <w:r>
        <w:rPr>
          <w:b/>
        </w:rPr>
        <w:t>E. 3</w:t>
      </w:r>
    </w:p>
    <w:p>
      <w:r>
        <w:t>Es werden keine Parteientschädigungen zugesprochen.</w:t>
      </w:r>
    </w:p>
    <w:p>
      <w:r>
        <w:rPr>
          <w:b/>
        </w:rPr>
        <w:t>E. 4</w:t>
      </w:r>
    </w:p>
    <w:p>
      <w:r>
        <w:t>(Schriftliche Mitteilung.)</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1'941.65. Die Beschwerde an das Bundesgericht hat keine aufschiebende Wirkung. Hinsichtlich des Fristenlaufs gelten die Art. 44 ff. BGG. Zürich, 15. April 2025 Obergericht des Kantons Zürich I. Zivilkammer Der Vorsitzende: Die Leitende Gerichtsschreiberin: lic. iur. A. Huizinga lic. iur. E. Ferreño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