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RU250003 vom 30. Januar 2025</w:t>
      </w:r>
    </w:p>
    <w:p>
      <w:r>
        <w:t>ZH Obergericht, 2025-01-30, DE</w:t>
      </w:r>
    </w:p>
    <w:p>
      <w:r>
        <w:rPr>
          <w:b/>
        </w:rPr>
        <w:t xml:space="preserve">Quelle: </w:t>
      </w:r>
      <w:r>
        <w:t>https://mcp.opencaselaw.ch/entscheid/zh_obergericht_RU250003</w:t>
      </w:r>
    </w:p>
    <w:p>
      <w:r>
        <w:t>FR: ZH_OBERGERICHT RU250003 du 30 janvier 2025</w:t>
      </w:r>
    </w:p>
    <w:p>
      <w:r>
        <w:t>IT: ZH_OBERGERICHT RU250003 del 30 gennaio 2025</w:t>
      </w:r>
    </w:p>
    <w:p>
      <w:pPr>
        <w:pStyle w:val="Heading2"/>
      </w:pPr>
      <w:r>
        <w:t>Erwägungen</w:t>
      </w:r>
    </w:p>
    <w:p>
      <w:r>
        <w:rPr>
          <w:b/>
        </w:rPr>
        <w:t>E. 2</w:t>
      </w:r>
    </w:p>
    <w:p>
      <w:r>
        <w:t>Fälle von Rechtsverweigerung oder Rechtsverzögerung sind jederzeit mit Beschwerde anfechtbar (vgl. Art. 319 lit. c i.V.m. Art. 321 Abs. 4 ZPO). Gegen- stand der Rechtsverweigerungs- und Rechtsverzögerungsbeschwerde bildet da- bei ausschliesslich die formelle Rechtsverweigerung, die sich in einer unrecht- mässigen Verweigerung oder Verzögerung eines anfechtbaren Entscheides äus- sert (vgl. ZK ZPO-FREIBURGHAUS/AFHELDT, 3. Auflage 2016, Art. 319 N 17). 3.1. Das Verbot der Rechtsverweigerung und -verzögerung bzw. der Anspruch auf Beurteilung innert angemessener Frist gehört zur Garantie eines gerechten</w:t>
      </w:r>
    </w:p>
    <w:p>
      <w:r>
        <w:t>- 3 - Verfahrens nach Art. 29 Abs. 1 BV. Der Anspruch auf Beurteilung innert ange- messener Frist bezieht sich ausgehend von den einzelnen Verfahrensabschnitten auf die gesamte Verfahrensdauer, wobei in jedem Einzelfall zu prüfen ist, ob sich die Verfahrensdauer unter den konkreten Umständen als angemessen erweist. Kriterien bilden die Bedeutung des Verfahrens für den Betroffenen, die Komplexi- tät des Falles, das Verhalten der Verfahrensbeteiligten und die Behandlung des Falles durch die Behörden. Den Behörden ist eine Rechtsverzögerung insbeson- dere dann vorzuwerfen, wenn sie ohne ersichtlichen Grund und ohne ausglei- chende Aktivität während längerer Perioden untätig geblieben sind (vgl. statt vie- ler: BGer 5A_207/2018 vom 26. Juni 2018, E. 2.1.2. m.w.H.). 3.2. Vorliegend reichte die Beschwerdeführerin am 10. Dezember 2024 ein Ver- schiebungsgesuch bei der Vorinstanz ein (act. 10/86). Wegen Untätigkeit der Schlichtungsbehörde erhob die Beschwerdeführerin bereits am 8. Januar 2025 eine Rechtsverweigerungs-/Rechtsverzögerungsbeschwerde bei der Kammer. Auch wenn der Fristenstillstand gemäss Art. 145 Abs. 2 lit. a ZPO für das Schlich- tungsverfahren nicht gilt, ist nicht zu beanstanden, wenn während der Festtage keine Vorladungen versandt wurden. Ausserdem beantragte die Beschwerdefüh- rerin eine Verschiebung der Schlichtungsverhandlung erst auf den 5. März 2025. Eine zeitliche Dringlichkeit ist damit nicht ersichtlich. Von einem Untätigbleiben der Vorinstanz während einer längeren Periode kann unter diesen Umständen nicht gesprochen werden. Ebenfalls fehlt es gänzlich an Hinweisen, dass die Vor- instanz auf das Ausstellen einer Verschiebungsanzeige hätte verzichten oder den ehemaligen Verwalter nicht aus dem Rubrum hätte entfernen wollen. Im Gegen- teil: Die Vorinstanz teilte der Beschwerdeführerin bereits mit Schreiben vom 7. Ja- nuar 2025 mit, dass sich die Gegenseite neu durch Rechtsanwalt X._____ vertre- ten lasse, weshalb die Verschiebungsanzeige nach Eingang der Vollmacht zuge- stellt werde (act. 10/88). Die Verschiebungsanzeige datiert vom 16. Januar 2025 (act. 10/91). Ob sie der Beschwerdeführerin bereits zugestellt wurde, ist nicht be- kannt. Dies kann aber offen gelassen werden, da wie gezeigt, keine Rechtsver- weigerung vorliegt. Der ehemalige Verwalter wurde ebenfalls bereits aus dem Ru- brum der Vorinstanz entfernt. Die Beschwerde ist somit abzuweisen.</w:t>
      </w:r>
    </w:p>
    <w:p>
      <w:r>
        <w:t>- 4 -</w:t>
      </w:r>
    </w:p>
    <w:p>
      <w:r>
        <w:rPr>
          <w:b/>
        </w:rPr>
        <w:t>E. 4</w:t>
      </w:r>
    </w:p>
    <w:p>
      <w:r>
        <w:t>Die zweitinstanzliche Entscheidgebühr ist unter Berücksichtigung aller mass- geblicher Kriterien auf Fr. 300.– festzusetzen (vgl. § 12 Abs. 1 und 2 i.V.m. § 3 Abs. 1 GebV OG) und der Beschwerdeführerin aufzuerlegen. Parteientschädigun- gen sind keine zuzusprechen (vgl. statt vieler: OGer ZH RU210024 vom 6. April 2021 E.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