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RU240050 vom 14. Oktober 2024</w:t>
      </w:r>
    </w:p>
    <w:p>
      <w:r>
        <w:t>ZH Obergericht, 2024-10-14, DE</w:t>
      </w:r>
    </w:p>
    <w:p>
      <w:r>
        <w:rPr>
          <w:b/>
        </w:rPr>
        <w:t xml:space="preserve">Quelle: </w:t>
      </w:r>
      <w:r>
        <w:t>https://mcp.opencaselaw.ch/entscheid/zh_obergericht_RU240050</w:t>
      </w:r>
    </w:p>
    <w:p>
      <w:r>
        <w:t>FR: ZH_OBERGERICHT RU240050 du 14 octobre 2024</w:t>
      </w:r>
    </w:p>
    <w:p>
      <w:r>
        <w:t>IT: ZH_OBERGERICHT RU240050 del 14 ottobre 2024</w:t>
      </w:r>
    </w:p>
    <w:p>
      <w:pPr>
        <w:pStyle w:val="Heading2"/>
      </w:pPr>
      <w:r>
        <w:t>Erwägungen</w:t>
      </w:r>
    </w:p>
    <w:p>
      <w:r>
        <w:rPr>
          <w:b/>
        </w:rPr>
        <w:t>E. 24</w:t>
      </w:r>
    </w:p>
    <w:p>
      <w:r>
        <w:t>Oktober 2024, vor (act. 8). 1.2. Gegen die Verfügung des Friedensrichteramts Männedorf vom 24. Septem- ber 2024 erhob der Beschwerdeführer mit Eingabe vom 4. Oktober 2024 (Post- stempel gleichentags) fristgerecht (vgl. act. 10; act. 12) Beschwerde bei der hiesi- gen Kammer. Er verlangte, der Streitgegenstand sei als gegenstandslos zurück- zuweisen, und äusserte sich zum Schlichtungsgesuch (act. 17). 1.3. Die vorinstanzlichen Akten wurden beigezogen (act. 1 – 13). Da sich die Be- schwerde sogleich als unzulässig erweist (vgl. E. 2.), kann auf die Einholung einer Beschwerdeantwort verzichtet werden (Art. 322 Abs. 1 ZPO). Das Verfahren ist spruchreif. 2. Auf das von einer Partei ergriffene Rechtsmittel kann nur dann eingetreten werden, wenn die Partei durch den angefochtenen Entscheid beschwert ist (BLI-</w:t>
      </w:r>
    </w:p>
    <w:p>
      <w:r>
        <w:t>- 3 - CKENSTORFER, DIKE-Komm-ZPO, 2. Aufl. 2016, Vor Art. 308 – 334 N 95). Das Er- fordernis der Beschwer hat die Wirkung, dass nur derjenige zur Erhebung eines Rechtsmittels befugt ist, welcher ein (von der Rechtsordnung geschütztes, d.h. ein schutzwürdiges) Interesse (tatsächlicher oder rechtlicher Natur) an der Abän- derung des angefochtenen Entscheids besitzt (REETZ in: Sutter-Somm/Hasenböh- ler/Leuenberger, ZPO Komm., 3. Aufl. 2016, Vor Art. 308 – 318 N 30 m.V.a. BGE 120 II 5 E. 2.a). Mit der Verfügung vom 24. September 2024 setzte die Friedens- richterin der Beschwerdegegnerin Frist zur Leistung eines Kostenvorschusses an (act. 18). Damit wurde keine Anordnung getroffen, welche sich an den Beschwer- deführer richtet. Es ist daher weder ersichtlich, noch hat der Beschwerdeführer dargelegt, inwiefern er ein schutzwürdiges Interesse an der Anfechtung der Verfü- gung haben könnte. Er setzt sich vielmehr mit dem Vorbringen der Beschwerde- gegnerin, der Garten werde nicht korrekt unterhalten, auseinander. Über die Be- gründetheit dieser Vorbringen wurde aber mit der Verfügung vom 24. September 2024 nicht entschieden. Dazu kann sich der Beschwerdeführer vor Vorinstanz an- lässlich der auf den 24. Oktober 2024 angesetzten Schlichtungsverhandlung äus- sern. Auf die Beschwerde ist daher mangels Beschwer nicht einzutreten. 3.1. Ausgangsgemäss sind die Kosten des Beschwerdeverfahrens dem Be- schwerdeführer aufzuerlegen (Art. 106 Abs. 1 ZPO). In Anwendung von § 12 Abs. 1 und 2 sowie § 4 Abs. 1 und 2 und § 10 Abs. 1 GebV OG ist die zweitin- stanzliche Entscheidgebühr auf Fr. 200.– festzusetzen. 3.2. Für das Beschwerdeverfahren sind keine Parteientschädigungen zuzuspre- chen: Dem Beschwerdeführer nicht, weil er unterliegt und der Beschwerdegegne- rin nicht, weil ihr keine zu entschädigenden Umtriebe entstanden sind.</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