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RU220041 vom 17. Juni 2022</w:t>
      </w:r>
    </w:p>
    <w:p>
      <w:r>
        <w:t>ZH Obergericht, 2022-06-17, DE</w:t>
      </w:r>
    </w:p>
    <w:p>
      <w:r>
        <w:rPr>
          <w:b/>
        </w:rPr>
        <w:t xml:space="preserve">Quelle: </w:t>
      </w:r>
      <w:r>
        <w:t>https://mcp.opencaselaw.ch/entscheid/zh_obergericht_RU220041</w:t>
      </w:r>
    </w:p>
    <w:p>
      <w:r>
        <w:t>FR: ZH_OBERGERICHT RU220041 du 17 juin 2022</w:t>
      </w:r>
    </w:p>
    <w:p>
      <w:r>
        <w:t>IT: ZH_OBERGERICHT RU220041 del 17 giugno 2022</w:t>
      </w:r>
    </w:p>
    <w:p>
      <w:pPr>
        <w:pStyle w:val="Heading2"/>
      </w:pPr>
      <w:r>
        <w:t>Erwägungen</w:t>
      </w:r>
    </w:p>
    <w:p>
      <w:r>
        <w:rPr>
          <w:b/>
        </w:rPr>
        <w:t>E. 2</w:t>
      </w:r>
    </w:p>
    <w:p>
      <w:r>
        <w:t>Gemäss Art. 49 ZPO ist ein Ausstandsgesuch zunächst direkt bei der In- stanz zu stellen, deren Mitglied abgelehnt wird, worauf die betroffene Person dazu Stellung nimmt. Wird der geltend gemachte Ausstandsgrund bestritten, entschei- det das Gericht (Art. 50 Abs. 1 ZPO). Handelt es sich bei der abgelehnten Person um einen Friedensrichter, ist das Bezirksgericht zuständig, über solche strittige Ausstandsgesuche zu entscheiden (§ 127 lit. c GOG). Die Beschwerdeführerin hätte folglich zunächst an die Vorinstanz gelangen und – sofern die Friedensrich- terin den Ausstandsgrund bestritten hätte – hernach an das Bezirksgericht Zürich. Erst gegen einen Entscheid von Letzterem wäre eine Beschwerde an das Ober- gericht Zürich zulässig (vgl. Art. 50 Abs. 2 ZPO). Zur Behandlung des soweit er- sichtlich direkt an das Obergericht gerichteten Ausstandsbegehrens (act. 2) ist die Kammer folglich nicht zuständig, weshalb darauf nicht einzutreten ist. 3.1. Beim angefochtenen Entscheid handelt es sich um eine prozessleitende Verfügung. Prozessleitende Entscheide sind nicht berufungsfähig (vgl. Art. 308 Abs. 1 ZPO). Hingegen kann Beschwerde erhoben werden, wenn dies entweder im Gesetz ausdrücklich vorgesehen ist oder wenn durch die Verfügung ein nicht leicht wieder gutzumachender Nachteil droht (Art. 319 lit. b ZPO). Betreffend Ent- scheide über die Ablehnung eines Sistierungsgesuches sieht die ZPO – im Ge- gensatz zu Entscheiden, mit welchen ein Verfahren sistiert wird (vgl. Art. 126</w:t>
      </w:r>
    </w:p>
    <w:p>
      <w:r>
        <w:t>- 4 - Abs. 2 ZPO) – nicht ausdrücklich vor, dass dagegen Beschwerde erhoben werden kann. Damit ist die vorliegende Beschwerde nur zulässig, wenn der Beschwerde- führerin durch den angefochtenen Entscheid ein nicht leicht wieder gutzumachen- der Nachteil im Sinne von Art. 319 lit. b Ziff. 2 ZPO droht (vgl. Kaufmann, DIKE- Komm-ZPO, 2. Aufl. 2016, Art. 126 N 27; ZK ZPO-Staehelin, 3. Aufl. 2016, Art. 126 N 8). Das Vorliegen eines drohenden Nachteils als Zulässigkeitsvoraus- setzung des Rechtsmittels ist dabei von Amtes wegen zu prüfen; allerdings, wie allgemein bei der Prüfung von Prozessvoraussetzungen, nur auf Basis des dem Gericht vorgelegten Tatsachenmaterials. Die Beweislast für das Bestehen der Ge- fahr eines nicht leicht wiedergutzumachenden Nachteils trägt die Beschwerde füh- rende Partei, falls die Gefahr nicht von vornherein offenkundig ist. Fehlt die Rechtsmittelvoraussetzung des drohenden, nicht leicht wieder gutzumachenden Nachteils, so ist auf die Beschwerde nicht einzutreten (vgl. zum Ganzen OGer ZH RB170027 vom 7. August 2017 E. 2.5 m.w.H.). 3.2. Die Beschwerdeführerin macht Ausführungen dazu, weshalb ihrer Ansicht nach das Schlichtungsverfahren zu sistieren sei, rügt eine mangelnde Begrün- dung des angefochtenen Entscheides und äussert sich zum Ausstandsgesuch. Kein Wort verliert sie jedoch zum Vorliegen eines durch die angefochtene Verfü- gung drohenden, nicht leicht wieder gutzumachenden Nachteils (vgl. act. 2). Ein solcher ist auch nicht ersichtlich. Es ist daher auf die Beschwerde nicht einzutre- ten.</w:t>
      </w:r>
    </w:p>
    <w:p>
      <w:r>
        <w:rPr>
          <w:b/>
        </w:rPr>
        <w:t>E. 4</w:t>
      </w:r>
    </w:p>
    <w:p>
      <w:r>
        <w:t>Ausgangsgemäss wird die unterliegende Beschwerdeführerin für das Rechtsmittelverfahren kostenpflichtig (Art. 106 Abs. 1 ZPO). Die Gerichtsgebühr, die in Anwendung von § 4 Abs. 1 und 2 sowie § 12 Abs. 1 und 2 GebV OG auf Fr. 250.– festzusetzen ist, ist daher der Beschwerdeführerin aufzuerlegen. Partei- entschädigungen sind keine zuzusprechen; der Beschwerdeführerin nicht auf- grund ihres Unterliegens und der Beschwerdegegnerin nicht, weil ihr im vorlie- genden Rechtsmittelverfahren keine Aufwände entstanden sind, die zu entschä- digen wären.</w:t>
      </w:r>
    </w:p>
    <w:p>
      <w:r>
        <w:t>- 5 -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