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RU220023 vom 8. März 2022</w:t>
      </w:r>
    </w:p>
    <w:p>
      <w:r>
        <w:t>ZH Obergericht, 2022-03-08, DE</w:t>
      </w:r>
    </w:p>
    <w:p>
      <w:r>
        <w:rPr>
          <w:b/>
        </w:rPr>
        <w:t xml:space="preserve">Quelle: </w:t>
      </w:r>
      <w:r>
        <w:t>https://mcp.opencaselaw.ch/entscheid/zh_obergericht_RU220023</w:t>
      </w:r>
    </w:p>
    <w:p>
      <w:r>
        <w:t>FR: ZH_OBERGERICHT RU220023 du 8 mars 2022</w:t>
      </w:r>
    </w:p>
    <w:p>
      <w:r>
        <w:t>IT: ZH_OBERGERICHT RU220023 del 8 marzo 2022</w:t>
      </w:r>
    </w:p>
    <w:p>
      <w:pPr>
        <w:pStyle w:val="Heading2"/>
      </w:pPr>
      <w:r>
        <w:t>Erwägungen</w:t>
      </w:r>
    </w:p>
    <w:p>
      <w:r>
        <w:rPr>
          <w:b/>
        </w:rPr>
        <w:t>E. 18</w:t>
      </w:r>
    </w:p>
    <w:p>
      <w:r>
        <w:t>Januar 2022 (Eingang: 27. Januar 2022) leitete die Klägerin, vertreten durch die B._____ SA, beim Friedensrichteramt Kreise 1+2 der Stadt Zürich das Schlichtungsverfahren ein mit dem Rechtsbegehren, die Beklagte sei zu verpflich- ten, der Klägerin die Forderung von Fr. 135'931.15 nebst Zins zu 5% seit dem 30. November 2020 sowie Fr. 203.30 Betreibungskosten zu bezahlen. Zudem be- antragte sie die Aufhebung des Rechtsvorschlags in der Betreibung Nr. … des Betreibungsamtes Zürich 1; alles unter Kosten- und Entschädigungsfolgen zulas- ten der Beklagten (Urk. 1 = Urk. 8/1) 1.2 Mit Verfügung vom 1. Februar 2022 trat das Friedensrichteramt Kreise 1+2 der Stadt Zürich auf die Klage nicht ein, wobei es die Kosten des Schlichtungsver- fahrens der Klägerin auferlegte (Urk. 4 = Urk. 7). 1.3 Hiergegen erhob die Klägerin mit Eingabe vom 15. Februar 2022 (Datum Poststempel: 17. Februar 2022) fristgerecht (vgl. Urk. 5) Beschwerde mit dem sinngemässen Antrag, der vorinstanzliche Entscheid sei aufzuheben und es sei der Rechtsvorschlag der Beklagten in der Betreibung Nr. … des Betreibungsam- tes Zürich 1 aufzuheben (Urk. 6). 1.4 Die vorinstanzlichen Akten wurden beigezogen (Urk. 1 bis 5). Da sich die Beschwerde – wie nachfolgend aufzuzeigen sein wird – sogleich als offensichtlich unzulässig bzw. unbegründet erweist, erübrigt sich das Einholen einer Beschwer- deantwort (Art. 322 Abs. 1 ZPO). 2. Die Beschwerdeschrift vom 15. Februar 2022 wurde – wie das Schlich- tungsgesuch vor Vorinstanz (vgl. Urk. 1) – durch E._____ von der B._____ SA eingereicht, wobei als Parteivertretung der Klägerin ausdrücklich die B._____ SA angegeben wurde (Urk. 6). Die B._____ SA ist eine im Handelsregister eingetra- gene Aktiengesellschaft (www.zefix.ch). Die nichtberufsmässige Prozessvertre-</w:t>
      </w:r>
    </w:p>
    <w:p>
      <w:r>
        <w:t>- 3 - tung nach Art. 68 Abs. 1 ZPO ist grundsätzlich natürlichen Personen vorbehalten (BSK ZPO-Tenchio, Art. 68 N 1a, unter anderem mit Verweis auf OGer ZH PS110143-O vom 16. August 2011, E. 1; Hrubesch-Millauer, DIKE-Komm-ZPO, Art. 68 N 2; Sutter-Somm/Seiler, Handkommentar zur Schweizerischen Zivilpro- zessordnung, Art. 68 N 5). Ein Ausnahmetatbestand von Art. 68 Abs. 2 ZPO, wel- cher die berufsmässige Vertretung durch eine juristische Person im vorinstanzli- chen Schlichtungs- oder im vorliegenden Beschwerdeverfahren rechtfertigen wür- de, liegt nicht vor. Da sich die Beschwerde als offensichtlich unbegründet erweist und keine Kosten aufzuerlegen sind, kann jedoch auf Weiterungen verzichtet werden. 3. Die Vorinstanz erwog zusammengefasst, dass es sich bei der von der Klä- gerin eingeklagten Forderung um eine handelsgerichtliche Streitigkeit handle. Da die sachliche Zuständigkeit des Friedensrichteramts Kreise 1+2 der Stadt Zürich nicht gegeben sei, sei auf die Klage nicht einzutreten (Urk. 7). 4.1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4.2 Diesen formellen Anforderungen genügt die Beschwerdeschrift der Klägerin offensichtlich nicht. Die Beschwerde enthält weder Ausführungen zur Sache noch eine Auseinandersetzung mit dem vorinstanzlichen Entscheid. Vielmehr scheint die Klägerin geltend machen zu wollen, sie habe einzig ein Rechtsöffnungsge-</w:t>
      </w:r>
    </w:p>
    <w:p>
      <w:r>
        <w:t>- 4 - such gestellt, was jedoch offensichtlich unzutreffend ist (vgl. Rechtsbegehren in Urk. 1). Im Übrigen entfällt für Rechtsöffnungen das Schlichtungsverfahren (Art. 198 lit. a ZPO; Art. 251 lit. a ZPO) Damit kommt die Klägerin ihrer Begrün- dungsobliegenheit nicht nach (vgl. oben Ziff. 4.1), weshalb auf die Beschwerde nicht einzutreten ist. 5.1 Umständehalber werden für das vorliegende Beschwerdeverfahren keine Kosten erhoben. 5.2 Für das Beschwerdeverfahren sind keine Parteientschädigungen zuzuspre- chen, der Klägerin zufolge ihres Unterliegens, der Beklagten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