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RU220011 vom 15. Februar 2022</w:t>
      </w:r>
    </w:p>
    <w:p>
      <w:r>
        <w:t>ZH Obergericht, 2022-02-15, DE</w:t>
      </w:r>
    </w:p>
    <w:p>
      <w:r>
        <w:rPr>
          <w:b/>
        </w:rPr>
        <w:t xml:space="preserve">Quelle: </w:t>
      </w:r>
      <w:r>
        <w:t>https://mcp.opencaselaw.ch/entscheid/zh_obergericht_RU220011</w:t>
      </w:r>
    </w:p>
    <w:p>
      <w:r>
        <w:t>FR: ZH_OBERGERICHT RU220011 du 15 février 2022</w:t>
      </w:r>
    </w:p>
    <w:p>
      <w:r>
        <w:t>IT: ZH_OBERGERICHT RU220011 del 15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Klägerin und Beschwerdegegnerin (nachfolgend: Beschwerdegegnerin) gelangte mit Schlichtungsbegehren vom 1. September 2021 (act. 1) an das Frie- densrichteramt C._____ (nachfolgend: Vorinstanz). Sie stellte folgendes Rechts- begehren: " 1. Der Kauf vom 22. Juni 2021 sei zu wandeln und der Beklagte sei demgemäss zu verpflichten, der Klägerin den Kaufpreis von Fr. 11'790.-- (zzgl. Zins zu 5% seit dem 22. Juni 2021) unter gleichzeitiger Verpflichtung zur Rücknahme des Fahrzeuges Duca- to 15Q 2.3 MJ (Fahrgestell-Nr. ...) samt Fahrzeugausweis zu er- statten. Eventualiter sei der Beklagte zu verpflichten, der Klägerin den Minderwert in der Höhe von Fr. 9'376.-- (zzgl. Zins zu 5% seit dem 22. Juni 2021) zu erstatten. Subeventualiter sei der Beklagte zu verpflichten, die im Reparatur- kosten-Kalkulation des XpertCenter vom 20. Juli 2021 (…) aufge- führten Mängel auf eigene Kosten fachmännisch zu beheben.</w:t>
      </w:r>
    </w:p>
    <w:p>
      <w:r>
        <w:rPr>
          <w:b/>
        </w:rPr>
        <w:t>E. 2</w:t>
      </w:r>
    </w:p>
    <w:p>
      <w:r>
        <w:t>Überdies sei der Beklagte zu verpflichten, der Klägerin Schadener- satz in noch zu beziffernder Höhe (zzgl. Zins zu 5% sei mittlerem Verfalltag) zu bezahlen. Unter Kosten- und Entschädigungsfolgen zu Lasten des Beklagten." Die Vorinstanz versandte am 6. September 2021 eine Eingangsanzeige und Vor- ladung zur Schlichtungsverhandlung vom 24. September 2021 an die Parteien. Im Falle des Beklagten und Beschwerdeführers (nachfolgend: Beschwerdeführer) wurde sie als "nicht abgeholt" von der Schweizerischen Post retourniert (vgl. act. 2–4). In der Folge wurde am 17. September 2021 neu auf den 22. Oktober 2021 um 10:00 Uhr vorgeladen (act.5–7). Unter Beizug der Kantonspolizei Bern konnte die Vorladung dem Beschwerdeführer am 23. September 2021 erfolgreich zugestellt werden (vgl. act. 8–9). Am 21. Oktober 2021 um 18:39 Uhr ging bei der Vorinstanz – vorab per E-Mail – ein Gesuch des Beschwerdeführers um Dispensation vom persönlichen Erschei- nen ein, gezeichnet durch Rechtsanwalt X._____ (act. 10; am Folgetag postalisch als act. 12 eingegangen). Eine Vollmacht brachte der Unterzeichnete nicht bei, führte aber aus, er sei vom Beschwerdeführer konsultiert worden. Zur Begrün-</w:t>
      </w:r>
    </w:p>
    <w:p>
      <w:r>
        <w:t>- 3 - dung des Ersuchens um Dispensation verwies er auf den ausserkantonalen Wohnsitz des Beschwerdeführers. Das Mandat umfasse die anwaltliche Vertre- tung an der Schlichtungsverhandlung nicht, weshalb auch er, Rechtsanwalt X._____, an der Schlichtungsverhandlung nicht teilnehmen könne. Mit E-Mail vom gleichen Tag lehnte die Vorinstanz das Gesuch ab, weil es zu kurzfristig gestellt worden sei (act. 11 = act. 25/6). Nachdem der Beschwerdeführer an der Schlich- tungsverhandlung vom 22. Oktober 2021 säumig geblieben war (vgl. act. 13), erging gleichentags ein Urteilsvorschlag (act. 14). Dieser sieht vor: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