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RU210110 vom 30. November 2021</w:t>
      </w:r>
    </w:p>
    <w:p>
      <w:r>
        <w:t>ZH Obergericht, 2021-11-30, DE</w:t>
      </w:r>
    </w:p>
    <w:p>
      <w:r>
        <w:rPr>
          <w:b/>
        </w:rPr>
        <w:t xml:space="preserve">Quelle: </w:t>
      </w:r>
      <w:r>
        <w:t>https://mcp.opencaselaw.ch/entscheid/zh_obergericht_RU210110</w:t>
      </w:r>
    </w:p>
    <w:p>
      <w:r>
        <w:t>FR: ZH_OBERGERICHT RU210110 du 30 novembre 2021</w:t>
      </w:r>
    </w:p>
    <w:p>
      <w:r>
        <w:t>IT: ZH_OBERGERICHT RU210110 del 30 novembre 2021</w:t>
      </w:r>
    </w:p>
    <w:p>
      <w:pPr>
        <w:pStyle w:val="Heading2"/>
      </w:pPr>
      <w:r>
        <w:t>Erwägungen</w:t>
      </w:r>
    </w:p>
    <w:p>
      <w:r>
        <w:rPr>
          <w:b/>
        </w:rPr>
        <w:t>E. 1</w:t>
      </w:r>
    </w:p>
    <w:p>
      <w:r>
        <w:t>a) Mit Eingabe vom 23. April 2021 reichte die Klägerin beim Frie- densrichteramt der Stadt Zürich, Kreise 7 + 8 (Vorinstanz), ein Schlichtungsge- such mit folgenden Rechtsbegehren ein (Urk. 1 S. 2): "1 – Es sei gerichtlich festzustellen, dass die Rechnung vom 12. März 2021 im Bezug Nebenkosten 2021 Akontozahlung in der Hohe von CHF11,000 an die Beklagte nichtig sei.</w:t>
      </w:r>
    </w:p>
    <w:p>
      <w:r>
        <w:rPr>
          <w:b/>
        </w:rPr>
        <w:t>E. 2</w:t>
      </w:r>
    </w:p>
    <w:p>
      <w:r>
        <w:t>Es sei gerichtlich festzustellen, dass die Rechnung der Beklagte vom 12. März 2021 im Bezug Nebenkosten 2021 Akontozahlung in der Hohe von CHF2,000 an die Klägerin nichtig sei.</w:t>
      </w:r>
    </w:p>
    <w:p>
      <w:r>
        <w:rPr>
          <w:b/>
        </w:rPr>
        <w:t>E. 3</w:t>
      </w:r>
    </w:p>
    <w:p>
      <w:r>
        <w:t>Die Kosten im Bezug auf GV.2021.00102, GV.2021.00103, GV.2021. 00109, GV.2021.00126 seien von CHF420 auf CHF0 zu reduzieren.</w:t>
      </w:r>
    </w:p>
    <w:p>
      <w:r>
        <w:t>- 3 -</w:t>
      </w:r>
    </w:p>
    <w:p>
      <w:r>
        <w:rPr>
          <w:b/>
        </w:rPr>
        <w:t>E. 4</w:t>
      </w:r>
    </w:p>
    <w:p>
      <w:r>
        <w:t>Das Friedensrichteramt Kreis 7 sei gerichtlich anzuweisen, mir CHF 420 im Bezug auf GV.2021.00102, GV.2021.00103, GV.2021.00109, GV.2021. 00126 zurückzuerstatten.</w:t>
      </w:r>
    </w:p>
    <w:p>
      <w:r>
        <w:rPr>
          <w:b/>
        </w:rPr>
        <w:t>E. 5</w:t>
      </w:r>
    </w:p>
    <w:p>
      <w:r>
        <w:t>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 Klägerin die Klagebewilligung vom 29.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